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A0B0B" w14:textId="5CA3D8C8" w:rsidR="004B0D2A" w:rsidRPr="00363127" w:rsidRDefault="00BE28F6" w:rsidP="00046D33">
      <w:pPr>
        <w:pStyle w:val="ct"/>
        <w:jc w:val="left"/>
      </w:pPr>
      <w:r w:rsidRPr="00363127">
        <w:t xml:space="preserve">Outgrowing Capitalism to </w:t>
      </w:r>
      <w:r w:rsidR="00046D33">
        <w:t>F</w:t>
      </w:r>
      <w:r w:rsidRPr="00363127">
        <w:t>und Universal Basic Income</w:t>
      </w:r>
    </w:p>
    <w:p w14:paraId="79668E7D" w14:textId="7DC00FB3" w:rsidR="00BE28F6" w:rsidRDefault="00BE28F6" w:rsidP="00BE28F6">
      <w:pPr>
        <w:pStyle w:val="00Body"/>
      </w:pPr>
      <w:r>
        <w:t>By Marco Dondi</w:t>
      </w:r>
    </w:p>
    <w:p w14:paraId="4C272F14" w14:textId="1645DF38" w:rsidR="00BE28F6" w:rsidRDefault="00BE28F6" w:rsidP="00BE28F6">
      <w:pPr>
        <w:pStyle w:val="00Body"/>
      </w:pPr>
    </w:p>
    <w:p w14:paraId="11912FBA" w14:textId="20CE5D01" w:rsidR="00BE28F6" w:rsidRDefault="00BE28F6" w:rsidP="007A65CF">
      <w:pPr>
        <w:pStyle w:val="h1"/>
        <w:spacing w:line="480" w:lineRule="auto"/>
        <w:rPr>
          <w:b w:val="0"/>
          <w:bCs/>
        </w:rPr>
      </w:pPr>
      <w:r w:rsidRPr="00363127">
        <w:t>Abstract</w:t>
      </w:r>
    </w:p>
    <w:p w14:paraId="6B602F2D" w14:textId="2FE38070" w:rsidR="00363127" w:rsidRPr="00363127" w:rsidRDefault="009621CE" w:rsidP="009621CE">
      <w:pPr>
        <w:pStyle w:val="00Body"/>
        <w:spacing w:line="240" w:lineRule="auto"/>
        <w:rPr>
          <w:i/>
          <w:iCs/>
        </w:rPr>
      </w:pPr>
      <w:r>
        <w:rPr>
          <w:i/>
          <w:iCs/>
        </w:rPr>
        <w:t>T</w:t>
      </w:r>
      <w:r w:rsidR="00BE28F6" w:rsidRPr="004E36B5">
        <w:rPr>
          <w:i/>
          <w:iCs/>
        </w:rPr>
        <w:t xml:space="preserve">he benefits of UBI </w:t>
      </w:r>
      <w:r w:rsidR="008F5643">
        <w:rPr>
          <w:i/>
          <w:iCs/>
        </w:rPr>
        <w:t>are</w:t>
      </w:r>
      <w:r w:rsidR="000623A9">
        <w:rPr>
          <w:i/>
          <w:iCs/>
        </w:rPr>
        <w:t xml:space="preserve"> being</w:t>
      </w:r>
      <w:r w:rsidR="00BE28F6" w:rsidRPr="004E36B5">
        <w:rPr>
          <w:i/>
          <w:iCs/>
        </w:rPr>
        <w:t xml:space="preserve"> </w:t>
      </w:r>
      <w:r w:rsidR="000623A9">
        <w:rPr>
          <w:i/>
          <w:iCs/>
        </w:rPr>
        <w:t xml:space="preserve">more </w:t>
      </w:r>
      <w:r w:rsidR="00BE28F6" w:rsidRPr="004E36B5">
        <w:rPr>
          <w:i/>
          <w:iCs/>
        </w:rPr>
        <w:t xml:space="preserve">broadly acknowledged </w:t>
      </w:r>
      <w:r>
        <w:rPr>
          <w:i/>
          <w:iCs/>
        </w:rPr>
        <w:t xml:space="preserve">but </w:t>
      </w:r>
      <w:r w:rsidR="00BE28F6" w:rsidRPr="004E36B5">
        <w:rPr>
          <w:i/>
          <w:iCs/>
        </w:rPr>
        <w:t>funding UBI through taxes dissatisfies most conservatives</w:t>
      </w:r>
      <w:r w:rsidR="000623A9">
        <w:rPr>
          <w:i/>
          <w:iCs/>
        </w:rPr>
        <w:t>. It also</w:t>
      </w:r>
      <w:r w:rsidR="00BE28F6" w:rsidRPr="004E36B5">
        <w:rPr>
          <w:i/>
          <w:iCs/>
        </w:rPr>
        <w:t xml:space="preserve"> </w:t>
      </w:r>
      <w:r>
        <w:rPr>
          <w:i/>
          <w:iCs/>
        </w:rPr>
        <w:t xml:space="preserve">raises concerns </w:t>
      </w:r>
      <w:r w:rsidR="00BE28F6" w:rsidRPr="004E36B5">
        <w:rPr>
          <w:i/>
          <w:iCs/>
        </w:rPr>
        <w:t xml:space="preserve">even </w:t>
      </w:r>
      <w:r>
        <w:rPr>
          <w:i/>
          <w:iCs/>
        </w:rPr>
        <w:t xml:space="preserve">among </w:t>
      </w:r>
      <w:r w:rsidR="00BE28F6" w:rsidRPr="004E36B5">
        <w:rPr>
          <w:i/>
          <w:iCs/>
        </w:rPr>
        <w:t xml:space="preserve">some progressives that </w:t>
      </w:r>
      <w:r w:rsidR="000623A9">
        <w:rPr>
          <w:i/>
          <w:iCs/>
        </w:rPr>
        <w:t>a UBI</w:t>
      </w:r>
      <w:r w:rsidR="00BE28F6" w:rsidRPr="004E36B5">
        <w:rPr>
          <w:i/>
          <w:iCs/>
        </w:rPr>
        <w:t xml:space="preserve"> would substitute some </w:t>
      </w:r>
      <w:r w:rsidR="000623A9">
        <w:rPr>
          <w:i/>
          <w:iCs/>
        </w:rPr>
        <w:t xml:space="preserve">of the </w:t>
      </w:r>
      <w:r w:rsidR="00BE28F6" w:rsidRPr="004E36B5">
        <w:rPr>
          <w:i/>
          <w:iCs/>
        </w:rPr>
        <w:t>welfare programs more targeted to</w:t>
      </w:r>
      <w:r w:rsidR="008F5643">
        <w:rPr>
          <w:i/>
          <w:iCs/>
        </w:rPr>
        <w:t xml:space="preserve"> </w:t>
      </w:r>
      <w:r w:rsidR="00BE28F6" w:rsidRPr="004E36B5">
        <w:rPr>
          <w:i/>
          <w:iCs/>
        </w:rPr>
        <w:t>the poor. This paper explores the option of funding a UBI through new money creation</w:t>
      </w:r>
      <w:r w:rsidR="008F5643">
        <w:rPr>
          <w:i/>
          <w:iCs/>
        </w:rPr>
        <w:t xml:space="preserve"> </w:t>
      </w:r>
      <w:r>
        <w:rPr>
          <w:i/>
          <w:iCs/>
        </w:rPr>
        <w:t>without creating inflation</w:t>
      </w:r>
      <w:r w:rsidR="004E36B5" w:rsidRPr="004E36B5">
        <w:rPr>
          <w:i/>
          <w:iCs/>
        </w:rPr>
        <w:t>. In fact</w:t>
      </w:r>
      <w:r w:rsidR="0020343D">
        <w:rPr>
          <w:i/>
          <w:iCs/>
        </w:rPr>
        <w:t>, for centur</w:t>
      </w:r>
      <w:r>
        <w:rPr>
          <w:i/>
          <w:iCs/>
        </w:rPr>
        <w:t>ies</w:t>
      </w:r>
      <w:r w:rsidR="000623A9">
        <w:rPr>
          <w:i/>
          <w:iCs/>
        </w:rPr>
        <w:t>,</w:t>
      </w:r>
      <w:r w:rsidR="0020343D">
        <w:rPr>
          <w:i/>
          <w:iCs/>
        </w:rPr>
        <w:t xml:space="preserve"> commercial banks have </w:t>
      </w:r>
      <w:r>
        <w:rPr>
          <w:i/>
          <w:iCs/>
        </w:rPr>
        <w:t xml:space="preserve">been </w:t>
      </w:r>
      <w:r w:rsidR="0020343D">
        <w:rPr>
          <w:i/>
          <w:iCs/>
        </w:rPr>
        <w:t>grow</w:t>
      </w:r>
      <w:r>
        <w:rPr>
          <w:i/>
          <w:iCs/>
        </w:rPr>
        <w:t>ing</w:t>
      </w:r>
      <w:r w:rsidR="0020343D">
        <w:rPr>
          <w:i/>
          <w:iCs/>
        </w:rPr>
        <w:t xml:space="preserve"> the money supply </w:t>
      </w:r>
      <w:r>
        <w:rPr>
          <w:i/>
          <w:iCs/>
        </w:rPr>
        <w:t xml:space="preserve">as they give </w:t>
      </w:r>
      <w:r w:rsidR="0020343D">
        <w:rPr>
          <w:i/>
          <w:iCs/>
        </w:rPr>
        <w:t>more loans</w:t>
      </w:r>
      <w:r w:rsidR="004E36B5" w:rsidRPr="004E36B5">
        <w:rPr>
          <w:i/>
          <w:iCs/>
        </w:rPr>
        <w:t>, with central banks only creating money in exceptional cases such as war finance. From 1980, the money supply (M2) has grown at a rate of over 5% per year, mostly through the increase in electronic deposits by banks. In response to Covid</w:t>
      </w:r>
      <w:r w:rsidR="00F65DBE">
        <w:rPr>
          <w:i/>
          <w:iCs/>
        </w:rPr>
        <w:t>-19</w:t>
      </w:r>
      <w:r w:rsidR="004E36B5" w:rsidRPr="004E36B5">
        <w:rPr>
          <w:i/>
          <w:iCs/>
        </w:rPr>
        <w:t>, central banks increased the money supply by up to 25% in a single year, or 4 trillion</w:t>
      </w:r>
      <w:r w:rsidR="000623A9">
        <w:rPr>
          <w:i/>
          <w:iCs/>
        </w:rPr>
        <w:t xml:space="preserve"> dollars</w:t>
      </w:r>
      <w:r w:rsidR="004E36B5" w:rsidRPr="004E36B5">
        <w:rPr>
          <w:i/>
          <w:iCs/>
        </w:rPr>
        <w:t xml:space="preserve"> </w:t>
      </w:r>
      <w:r w:rsidR="000623A9">
        <w:rPr>
          <w:i/>
          <w:iCs/>
        </w:rPr>
        <w:t xml:space="preserve">in </w:t>
      </w:r>
      <w:r w:rsidR="004E36B5" w:rsidRPr="004E36B5">
        <w:rPr>
          <w:i/>
          <w:iCs/>
        </w:rPr>
        <w:t xml:space="preserve">the United States. This paper argues that </w:t>
      </w:r>
      <w:r w:rsidR="0020343D">
        <w:rPr>
          <w:i/>
          <w:iCs/>
        </w:rPr>
        <w:t>the market mechanism of money creation and allocation through commercial lending is inadequate, and central banks</w:t>
      </w:r>
      <w:r w:rsidR="000623A9">
        <w:rPr>
          <w:i/>
          <w:iCs/>
        </w:rPr>
        <w:t>’</w:t>
      </w:r>
      <w:r w:rsidR="0020343D">
        <w:rPr>
          <w:i/>
          <w:iCs/>
        </w:rPr>
        <w:t xml:space="preserve"> </w:t>
      </w:r>
      <w:r>
        <w:rPr>
          <w:i/>
          <w:iCs/>
        </w:rPr>
        <w:t>interventions sub-optimal if measured by their effectiveness in tackling social challenges such as poverty and climate change. B</w:t>
      </w:r>
      <w:r w:rsidR="004E36B5" w:rsidRPr="004E36B5">
        <w:rPr>
          <w:i/>
          <w:iCs/>
        </w:rPr>
        <w:t>y recognizing the limits of capitalism</w:t>
      </w:r>
      <w:r>
        <w:rPr>
          <w:i/>
          <w:iCs/>
        </w:rPr>
        <w:t>, with its market fundamentalism</w:t>
      </w:r>
      <w:r w:rsidR="004E36B5" w:rsidRPr="004E36B5">
        <w:rPr>
          <w:i/>
          <w:iCs/>
        </w:rPr>
        <w:t xml:space="preserve"> </w:t>
      </w:r>
      <w:r>
        <w:rPr>
          <w:i/>
          <w:iCs/>
        </w:rPr>
        <w:t>responsible</w:t>
      </w:r>
      <w:r w:rsidR="000623A9">
        <w:rPr>
          <w:i/>
          <w:iCs/>
        </w:rPr>
        <w:t xml:space="preserve"> for</w:t>
      </w:r>
      <w:r>
        <w:rPr>
          <w:i/>
          <w:iCs/>
        </w:rPr>
        <w:t xml:space="preserve"> shaping our monetary system, </w:t>
      </w:r>
      <w:r w:rsidR="004E36B5" w:rsidRPr="004E36B5">
        <w:rPr>
          <w:i/>
          <w:iCs/>
        </w:rPr>
        <w:t xml:space="preserve">we can </w:t>
      </w:r>
      <w:r>
        <w:rPr>
          <w:i/>
          <w:iCs/>
        </w:rPr>
        <w:t xml:space="preserve">take money creation away from private banks and put it </w:t>
      </w:r>
      <w:r w:rsidR="004E36B5" w:rsidRPr="004E36B5">
        <w:rPr>
          <w:i/>
          <w:iCs/>
        </w:rPr>
        <w:t xml:space="preserve">at the </w:t>
      </w:r>
      <w:r>
        <w:rPr>
          <w:i/>
          <w:iCs/>
        </w:rPr>
        <w:t xml:space="preserve">direct </w:t>
      </w:r>
      <w:r w:rsidR="004E36B5" w:rsidRPr="004E36B5">
        <w:rPr>
          <w:i/>
          <w:iCs/>
        </w:rPr>
        <w:t>service of people</w:t>
      </w:r>
      <w:r>
        <w:rPr>
          <w:i/>
          <w:iCs/>
        </w:rPr>
        <w:t xml:space="preserve">, </w:t>
      </w:r>
      <w:r w:rsidR="000623A9">
        <w:rPr>
          <w:i/>
          <w:iCs/>
        </w:rPr>
        <w:t xml:space="preserve">thus </w:t>
      </w:r>
      <w:r w:rsidR="004E36B5" w:rsidRPr="004E36B5">
        <w:rPr>
          <w:i/>
          <w:iCs/>
        </w:rPr>
        <w:t>us</w:t>
      </w:r>
      <w:r>
        <w:rPr>
          <w:i/>
          <w:iCs/>
        </w:rPr>
        <w:t xml:space="preserve">ing money creation </w:t>
      </w:r>
      <w:r w:rsidR="004E36B5" w:rsidRPr="004E36B5">
        <w:rPr>
          <w:i/>
          <w:iCs/>
        </w:rPr>
        <w:t>to fund Universal Basic Income.</w:t>
      </w:r>
    </w:p>
    <w:p w14:paraId="10102010" w14:textId="7481D0DD" w:rsidR="004E36B5" w:rsidRDefault="004E36B5" w:rsidP="007A65CF">
      <w:pPr>
        <w:pStyle w:val="h1"/>
        <w:spacing w:line="480" w:lineRule="auto"/>
        <w:rPr>
          <w:b w:val="0"/>
          <w:bCs/>
        </w:rPr>
      </w:pPr>
      <w:r w:rsidRPr="00363127">
        <w:t>Introduction</w:t>
      </w:r>
    </w:p>
    <w:p w14:paraId="176DE670" w14:textId="2ECDB950" w:rsidR="00CA43C3" w:rsidRDefault="00363127" w:rsidP="007A65CF">
      <w:pPr>
        <w:pStyle w:val="00Body"/>
        <w:spacing w:line="480" w:lineRule="auto"/>
      </w:pPr>
      <w:r>
        <w:t xml:space="preserve">At a global level, societies are progressing in a relatively constant pace towards </w:t>
      </w:r>
      <w:r w:rsidR="000623A9">
        <w:t xml:space="preserve">increasing </w:t>
      </w:r>
      <w:r>
        <w:t>prosperity, with emerging markets reducing the numbers of people living in absolute poverty. Nonetheless, most people in the richest countries in the world spend most of their time working to make ends meet, liv</w:t>
      </w:r>
      <w:r w:rsidR="000623A9">
        <w:t>ing</w:t>
      </w:r>
      <w:r>
        <w:t xml:space="preserve"> paycheck by paycheck, and never really hav</w:t>
      </w:r>
      <w:r w:rsidR="000623A9">
        <w:t>ing</w:t>
      </w:r>
      <w:r>
        <w:t xml:space="preserve"> </w:t>
      </w:r>
      <w:r w:rsidR="000623A9">
        <w:t>the</w:t>
      </w:r>
      <w:r>
        <w:t xml:space="preserve"> chance to pause and think </w:t>
      </w:r>
      <w:r w:rsidR="000623A9">
        <w:t xml:space="preserve">about </w:t>
      </w:r>
      <w:r>
        <w:t xml:space="preserve">how to find fulfillment. In North America especially, </w:t>
      </w:r>
      <w:r w:rsidR="00CA43C3">
        <w:t>people work among the longest hours among OECD countries</w:t>
      </w:r>
      <w:r w:rsidR="00CA43C3">
        <w:rPr>
          <w:rStyle w:val="FootnoteReference"/>
        </w:rPr>
        <w:footnoteReference w:id="1"/>
      </w:r>
      <w:r w:rsidR="00CA43C3">
        <w:t xml:space="preserve"> and retire the latest in life</w:t>
      </w:r>
      <w:r w:rsidR="00CA43C3">
        <w:rPr>
          <w:rStyle w:val="FootnoteReference"/>
        </w:rPr>
        <w:footnoteReference w:id="2"/>
      </w:r>
      <w:r w:rsidR="00CA43C3">
        <w:t xml:space="preserve">. In the United states, depending on the year and the survey, 30 to 40 percent of people have </w:t>
      </w:r>
      <w:r w:rsidR="000623A9">
        <w:lastRenderedPageBreak/>
        <w:t xml:space="preserve">essentially </w:t>
      </w:r>
      <w:r w:rsidR="00CA43C3">
        <w:t>no savings and up to 60% have less than 1000 USD in savings</w:t>
      </w:r>
      <w:r w:rsidR="00CA43C3">
        <w:rPr>
          <w:rStyle w:val="FootnoteReference"/>
        </w:rPr>
        <w:footnoteReference w:id="3"/>
      </w:r>
      <w:r w:rsidR="00CA43C3">
        <w:t>. All these people</w:t>
      </w:r>
      <w:r w:rsidR="007A65CF">
        <w:t xml:space="preserve">, as well as those </w:t>
      </w:r>
      <w:r w:rsidR="00CA43C3">
        <w:t>doing only marginally better</w:t>
      </w:r>
      <w:r w:rsidR="007A65CF">
        <w:t xml:space="preserve">, </w:t>
      </w:r>
      <w:r w:rsidR="00CA43C3">
        <w:t xml:space="preserve">have less chances </w:t>
      </w:r>
      <w:r w:rsidR="000623A9">
        <w:t>of being</w:t>
      </w:r>
      <w:r w:rsidR="00CA43C3">
        <w:t xml:space="preserve"> satisfied with their jobs</w:t>
      </w:r>
      <w:r w:rsidR="00CA43C3">
        <w:rPr>
          <w:rStyle w:val="FootnoteReference"/>
        </w:rPr>
        <w:footnoteReference w:id="4"/>
      </w:r>
      <w:r w:rsidR="007A65CF">
        <w:t xml:space="preserve"> and</w:t>
      </w:r>
      <w:r w:rsidR="00CA43C3">
        <w:t xml:space="preserve"> are more likely to divorce or </w:t>
      </w:r>
      <w:r w:rsidR="000623A9">
        <w:t xml:space="preserve">be </w:t>
      </w:r>
      <w:r w:rsidR="00CA43C3">
        <w:t>stuck in unhappy marriages</w:t>
      </w:r>
      <w:r w:rsidR="000376FE">
        <w:rPr>
          <w:rStyle w:val="FootnoteReference"/>
        </w:rPr>
        <w:footnoteReference w:id="5"/>
      </w:r>
      <w:r w:rsidR="00CA43C3">
        <w:t xml:space="preserve">. They have little chances </w:t>
      </w:r>
      <w:r w:rsidR="007A65CF">
        <w:t xml:space="preserve">of crafting their own path to </w:t>
      </w:r>
      <w:r w:rsidR="00CA43C3">
        <w:t xml:space="preserve">finding fulfillment </w:t>
      </w:r>
      <w:r w:rsidR="007A65CF">
        <w:t xml:space="preserve">and spend most </w:t>
      </w:r>
      <w:r w:rsidR="000623A9">
        <w:t>of their energy</w:t>
      </w:r>
      <w:r w:rsidR="008F5643">
        <w:t xml:space="preserve"> </w:t>
      </w:r>
      <w:r w:rsidR="000623A9">
        <w:t>on</w:t>
      </w:r>
      <w:r w:rsidR="007A65CF">
        <w:t xml:space="preserve"> </w:t>
      </w:r>
      <w:r w:rsidR="00CA43C3">
        <w:t xml:space="preserve">taking care of their family through hard work. </w:t>
      </w:r>
      <w:r w:rsidR="000623A9">
        <w:t xml:space="preserve">Sadly, </w:t>
      </w:r>
      <w:r w:rsidR="00CA43C3">
        <w:t xml:space="preserve">many regret </w:t>
      </w:r>
      <w:r w:rsidR="00054C28">
        <w:t>focus</w:t>
      </w:r>
      <w:r w:rsidR="009621CE">
        <w:t>ing</w:t>
      </w:r>
      <w:r w:rsidR="00054C28">
        <w:t xml:space="preserve"> too much on work </w:t>
      </w:r>
      <w:r w:rsidR="00CA43C3">
        <w:t>later in life</w:t>
      </w:r>
      <w:r w:rsidR="00873CF6">
        <w:rPr>
          <w:rStyle w:val="FootnoteReference"/>
        </w:rPr>
        <w:footnoteReference w:id="6"/>
      </w:r>
      <w:r w:rsidR="00CA43C3">
        <w:t xml:space="preserve">.  </w:t>
      </w:r>
    </w:p>
    <w:p w14:paraId="338D5E2B" w14:textId="5588B9BC" w:rsidR="000376FE" w:rsidRDefault="000376FE" w:rsidP="007A65CF">
      <w:pPr>
        <w:pStyle w:val="00Body"/>
        <w:spacing w:line="480" w:lineRule="auto"/>
      </w:pPr>
      <w:r>
        <w:t>At the same time</w:t>
      </w:r>
      <w:r w:rsidR="000623A9">
        <w:t>,</w:t>
      </w:r>
      <w:r>
        <w:t xml:space="preserve"> research has shown that income cease</w:t>
      </w:r>
      <w:r w:rsidR="00054C28">
        <w:t>s</w:t>
      </w:r>
      <w:r>
        <w:t xml:space="preserve"> to be a driver for happiness and only weakly correlate</w:t>
      </w:r>
      <w:r w:rsidR="009621CE">
        <w:t>s</w:t>
      </w:r>
      <w:r>
        <w:t xml:space="preserve"> to life satisfaction beyond a certain level</w:t>
      </w:r>
      <w:r>
        <w:rPr>
          <w:rStyle w:val="FootnoteReference"/>
        </w:rPr>
        <w:footnoteReference w:id="7"/>
      </w:r>
      <w:r>
        <w:t xml:space="preserve">. This is true at individual level but also at country level, where countries with GDP per capita above a certain threshold no longer show any correlation between well-being metrics and GDP per capita, whereas </w:t>
      </w:r>
      <w:r w:rsidR="009621CE">
        <w:t xml:space="preserve">such </w:t>
      </w:r>
      <w:r>
        <w:t xml:space="preserve">correlation </w:t>
      </w:r>
      <w:r w:rsidR="009621CE">
        <w:t xml:space="preserve">exist </w:t>
      </w:r>
      <w:r>
        <w:t>between well-being metrics and inequality</w:t>
      </w:r>
      <w:r>
        <w:rPr>
          <w:rStyle w:val="FootnoteReference"/>
        </w:rPr>
        <w:footnoteReference w:id="8"/>
      </w:r>
      <w:r>
        <w:t xml:space="preserve">. </w:t>
      </w:r>
    </w:p>
    <w:p w14:paraId="54EABBD5" w14:textId="0924998F" w:rsidR="00095E53" w:rsidRDefault="000376FE" w:rsidP="007A65CF">
      <w:pPr>
        <w:pStyle w:val="00Body"/>
        <w:spacing w:line="480" w:lineRule="auto"/>
      </w:pPr>
      <w:r>
        <w:t xml:space="preserve">There seems to be a </w:t>
      </w:r>
      <w:r w:rsidRPr="000376FE">
        <w:rPr>
          <w:i/>
          <w:iCs/>
        </w:rPr>
        <w:t>com</w:t>
      </w:r>
      <w:r w:rsidR="00CA43C3" w:rsidRPr="000376FE">
        <w:rPr>
          <w:i/>
          <w:iCs/>
        </w:rPr>
        <w:t>f</w:t>
      </w:r>
      <w:r w:rsidRPr="000376FE">
        <w:rPr>
          <w:i/>
          <w:iCs/>
        </w:rPr>
        <w:t>ort threshold</w:t>
      </w:r>
      <w:r>
        <w:t xml:space="preserve"> of income below which individuals and countries struggle to thrive but above which additional income becomes increasingly less important to different dimensions of well-being. For life-fulfilment in particular, </w:t>
      </w:r>
      <w:r w:rsidR="002842C3">
        <w:t xml:space="preserve">money and income have </w:t>
      </w:r>
      <w:r w:rsidR="002842C3">
        <w:lastRenderedPageBreak/>
        <w:t>nothing to do with it</w:t>
      </w:r>
      <w:r w:rsidR="002842C3">
        <w:rPr>
          <w:rStyle w:val="FootnoteReference"/>
        </w:rPr>
        <w:footnoteReference w:id="9"/>
      </w:r>
      <w:r w:rsidR="002842C3">
        <w:t xml:space="preserve">. Unfortunately, most OECD countries </w:t>
      </w:r>
      <w:r w:rsidR="009621CE">
        <w:t xml:space="preserve">have </w:t>
      </w:r>
      <w:r w:rsidR="002842C3">
        <w:t xml:space="preserve">been on a 40-year trend towards more inequality where those who have beyond what they need for well-being are getting more and the vast majority </w:t>
      </w:r>
      <w:r w:rsidR="007E7A30">
        <w:t xml:space="preserve">that are </w:t>
      </w:r>
      <w:r w:rsidR="002842C3">
        <w:t xml:space="preserve">looking up at the comfort threshold see it </w:t>
      </w:r>
      <w:r w:rsidR="007E7A30">
        <w:t xml:space="preserve">moving </w:t>
      </w:r>
      <w:r w:rsidR="00E708EE">
        <w:t>f</w:t>
      </w:r>
      <w:r w:rsidR="000623A9">
        <w:t>a</w:t>
      </w:r>
      <w:r w:rsidR="00E708EE">
        <w:t>rther away</w:t>
      </w:r>
      <w:r w:rsidR="008F5643">
        <w:rPr>
          <w:rStyle w:val="FootnoteReference"/>
        </w:rPr>
        <w:footnoteReference w:id="10"/>
      </w:r>
      <w:r w:rsidR="00E708EE">
        <w:t>. In France, one of the countries with the highest redistribution of market outcomes, poverty is contained to 10% of the population, compared to 40% without taxes and transfers</w:t>
      </w:r>
      <w:r w:rsidR="00E708EE">
        <w:rPr>
          <w:rStyle w:val="FootnoteReference"/>
        </w:rPr>
        <w:footnoteReference w:id="11"/>
      </w:r>
      <w:r w:rsidR="00E708EE">
        <w:t>. Correcting market outcomes seems indispensable to creat</w:t>
      </w:r>
      <w:r w:rsidR="000623A9">
        <w:t>ing</w:t>
      </w:r>
      <w:r w:rsidR="00E708EE">
        <w:t xml:space="preserve"> an inclusive Capitalism. But is </w:t>
      </w:r>
      <w:r w:rsidR="007E7A30">
        <w:t xml:space="preserve">10% of </w:t>
      </w:r>
      <w:r w:rsidR="000623A9">
        <w:t xml:space="preserve">French </w:t>
      </w:r>
      <w:r w:rsidR="007E7A30">
        <w:t xml:space="preserve">people in poverty </w:t>
      </w:r>
      <w:r w:rsidR="00E708EE">
        <w:t xml:space="preserve">satisfactory for a modern society? Could we not aspire to </w:t>
      </w:r>
      <w:r w:rsidR="000623A9">
        <w:t xml:space="preserve">propel </w:t>
      </w:r>
      <w:r w:rsidR="00E708EE">
        <w:t xml:space="preserve">civilization to a society where everyone </w:t>
      </w:r>
      <w:r w:rsidR="00095E53">
        <w:t>is by definition above the comfort threshold? Universal Basic Income provide</w:t>
      </w:r>
      <w:r w:rsidR="000623A9">
        <w:t>s</w:t>
      </w:r>
      <w:r w:rsidR="00095E53">
        <w:t xml:space="preserve"> that solution, but how can </w:t>
      </w:r>
      <w:r w:rsidR="000623A9">
        <w:t xml:space="preserve">we </w:t>
      </w:r>
      <w:r w:rsidR="00095E53">
        <w:t xml:space="preserve">sustainably fund </w:t>
      </w:r>
      <w:r w:rsidR="007E7A30">
        <w:t>it</w:t>
      </w:r>
      <w:r w:rsidR="00095E53">
        <w:t xml:space="preserve">? </w:t>
      </w:r>
    </w:p>
    <w:p w14:paraId="2E8C26D8" w14:textId="3112FB0B" w:rsidR="00095E53" w:rsidRDefault="00095E53" w:rsidP="007A65CF">
      <w:pPr>
        <w:pStyle w:val="00Body"/>
        <w:spacing w:line="480" w:lineRule="auto"/>
      </w:pPr>
      <w:r>
        <w:t>In this paper I take the perspective that countries can take either of two roads to sustainab</w:t>
      </w:r>
      <w:r w:rsidR="000623A9">
        <w:t>ly</w:t>
      </w:r>
      <w:r>
        <w:t xml:space="preserve"> fund a UBI program. The first is to fund it through the conventional tax system. </w:t>
      </w:r>
      <w:r w:rsidR="007E7A30">
        <w:t xml:space="preserve">The cost of UBI proposals are typically in the range of 20-40% of GDP, but the net costs – assuming that those people with </w:t>
      </w:r>
      <w:r>
        <w:t xml:space="preserve">sufficiently high market incomes would </w:t>
      </w:r>
      <w:r w:rsidR="007E7A30">
        <w:t xml:space="preserve">pay a </w:t>
      </w:r>
      <w:r>
        <w:t>slightly higher tax rate</w:t>
      </w:r>
      <w:r w:rsidR="007E7A30">
        <w:t xml:space="preserve"> than today to counterbalance the UBI transfer they receive – is more in the range of 2-6% of GDP</w:t>
      </w:r>
      <w:r w:rsidR="00E45A46">
        <w:t>. Such</w:t>
      </w:r>
      <w:r w:rsidR="003B4A23">
        <w:t xml:space="preserve"> a</w:t>
      </w:r>
      <w:r w:rsidR="00E45A46">
        <w:t xml:space="preserve"> scheme is often converted in</w:t>
      </w:r>
      <w:r w:rsidR="003B4A23">
        <w:t>to</w:t>
      </w:r>
      <w:r w:rsidR="00E45A46">
        <w:t xml:space="preserve"> a negative income tax program, where instead of paying a UBI transfer to everyone and then increasing the income tax rates for those with higher incomes, it only adds a negative tax rate for those below a certain income threshold. A net cost of 2-6% of GDP is relatively affordable and could </w:t>
      </w:r>
      <w:r>
        <w:t xml:space="preserve">be funded </w:t>
      </w:r>
      <w:r w:rsidR="00E45A46">
        <w:t xml:space="preserve">by a combination of </w:t>
      </w:r>
      <w:r>
        <w:t xml:space="preserve">new taxes, be that a carbon tax, wealth taxes, or higher VAT on luxury products. Any non-regressive tax scheme would work. The challenge of pursuing this funding pathway is political, given the UBI would be </w:t>
      </w:r>
      <w:r w:rsidR="00E45A46">
        <w:t xml:space="preserve">seen as a </w:t>
      </w:r>
      <w:r>
        <w:t xml:space="preserve">redistribution </w:t>
      </w:r>
      <w:r w:rsidR="00E45A46">
        <w:t>program, a</w:t>
      </w:r>
      <w:r>
        <w:t xml:space="preserve">nd history has shown that most tax increases have been reversed. Even in France, the </w:t>
      </w:r>
      <w:r w:rsidR="008B73F6">
        <w:t xml:space="preserve">country of </w:t>
      </w:r>
      <w:proofErr w:type="spellStart"/>
      <w:r w:rsidR="008B73F6">
        <w:t>libert</w:t>
      </w:r>
      <w:r w:rsidR="00E45A46">
        <w:t>é</w:t>
      </w:r>
      <w:proofErr w:type="spellEnd"/>
      <w:r w:rsidR="008B73F6">
        <w:t xml:space="preserve">, </w:t>
      </w:r>
      <w:proofErr w:type="spellStart"/>
      <w:r w:rsidR="008B73F6">
        <w:t>egalit</w:t>
      </w:r>
      <w:r w:rsidR="00E45A46">
        <w:t>é</w:t>
      </w:r>
      <w:proofErr w:type="spellEnd"/>
      <w:r w:rsidR="008B73F6">
        <w:t xml:space="preserve">, </w:t>
      </w:r>
      <w:r w:rsidR="008B73F6">
        <w:lastRenderedPageBreak/>
        <w:t xml:space="preserve">and </w:t>
      </w:r>
      <w:proofErr w:type="spellStart"/>
      <w:r w:rsidR="00E45A46">
        <w:t>fraternité</w:t>
      </w:r>
      <w:proofErr w:type="spellEnd"/>
      <w:r w:rsidR="008B73F6">
        <w:t xml:space="preserve"> has reversed wealth taxes</w:t>
      </w:r>
      <w:r w:rsidR="008F5643">
        <w:rPr>
          <w:rStyle w:val="FootnoteReference"/>
        </w:rPr>
        <w:footnoteReference w:id="12"/>
      </w:r>
      <w:r w:rsidR="008B73F6" w:rsidRPr="008B73F6">
        <w:rPr>
          <w:color w:val="FF0000"/>
        </w:rPr>
        <w:t xml:space="preserve">, </w:t>
      </w:r>
      <w:r w:rsidR="008B73F6">
        <w:t xml:space="preserve">going in the opposite direction of French most </w:t>
      </w:r>
      <w:r w:rsidR="00E45A46">
        <w:t>renowned</w:t>
      </w:r>
      <w:r w:rsidR="008B73F6">
        <w:t xml:space="preserve"> economist Thomas Piketty, who proposed taxing those with very high wealth to avoid perpetual wealth concentration</w:t>
      </w:r>
      <w:r w:rsidR="008F5643">
        <w:rPr>
          <w:rStyle w:val="FootnoteReference"/>
        </w:rPr>
        <w:footnoteReference w:id="13"/>
      </w:r>
      <w:r w:rsidR="008B73F6">
        <w:t xml:space="preserve">. </w:t>
      </w:r>
    </w:p>
    <w:p w14:paraId="071DF8C2" w14:textId="4035A5A8" w:rsidR="00095E53" w:rsidRDefault="00095E53" w:rsidP="007A65CF">
      <w:pPr>
        <w:pStyle w:val="00Body"/>
        <w:spacing w:line="480" w:lineRule="auto"/>
      </w:pPr>
      <w:r>
        <w:t xml:space="preserve">The second road </w:t>
      </w:r>
      <w:r w:rsidR="008B73F6">
        <w:t>I propose is to fund most of UBI transfer</w:t>
      </w:r>
      <w:r w:rsidR="00E45A46">
        <w:t>s</w:t>
      </w:r>
      <w:r w:rsidR="008B73F6">
        <w:t xml:space="preserve"> with newly printed money. There would be no redistribution, but rather a change in the way new money is created and allocated today to prioritize a UBI program over other uses of money.</w:t>
      </w:r>
    </w:p>
    <w:p w14:paraId="6087F801" w14:textId="05FA9A2C" w:rsidR="004E36B5" w:rsidRPr="00D33656" w:rsidRDefault="00D33656" w:rsidP="007A65CF">
      <w:pPr>
        <w:pStyle w:val="h1"/>
        <w:spacing w:line="480" w:lineRule="auto"/>
      </w:pPr>
      <w:r>
        <w:t xml:space="preserve">Money creation and allocation by the free market </w:t>
      </w:r>
    </w:p>
    <w:p w14:paraId="72995FE3" w14:textId="562D0501" w:rsidR="00D33656" w:rsidRDefault="00D33656" w:rsidP="007A65CF">
      <w:pPr>
        <w:pStyle w:val="00Body"/>
        <w:spacing w:line="480" w:lineRule="auto"/>
      </w:pPr>
      <w:r w:rsidRPr="00D33656">
        <w:t>Since the invention of banking</w:t>
      </w:r>
      <w:r>
        <w:t xml:space="preserve">, banks were </w:t>
      </w:r>
      <w:r w:rsidR="00E45A46">
        <w:t xml:space="preserve">implicitly </w:t>
      </w:r>
      <w:r>
        <w:t xml:space="preserve">allowed to create money. Depositor would deposit gold or whatever metal was recognized as money, and banks would give a paper recognizing that the depositor had a right to withdraw. As those papers circulated instead of the metal, </w:t>
      </w:r>
      <w:r w:rsidR="003B4A23">
        <w:t>they</w:t>
      </w:r>
      <w:r>
        <w:t xml:space="preserve"> became as good as gold or any other metal. Banks would also lend money, either in gold or in paper and as banks created more paper than they had gold, the</w:t>
      </w:r>
      <w:r w:rsidR="003B4A23">
        <w:t>y</w:t>
      </w:r>
      <w:r>
        <w:t xml:space="preserve"> multiplied the amount of money in circulation. </w:t>
      </w:r>
      <w:r w:rsidR="002C14B0">
        <w:t xml:space="preserve">And each bank could issue their own paper notes with their name, having multiple parallel currencies circulating, one for each bank. </w:t>
      </w:r>
      <w:r>
        <w:t xml:space="preserve">A good simplification </w:t>
      </w:r>
      <w:r w:rsidR="002C14B0">
        <w:t xml:space="preserve">to create a parallel to today </w:t>
      </w:r>
      <w:r>
        <w:t>would be to call gold M1 and the sum of gold and paper as M2, two of the most used money aggregates.</w:t>
      </w:r>
    </w:p>
    <w:p w14:paraId="6F054626" w14:textId="65C7F1A8" w:rsidR="002C14B0" w:rsidRDefault="00D33656" w:rsidP="007A65CF">
      <w:pPr>
        <w:pStyle w:val="00Body"/>
        <w:spacing w:line="480" w:lineRule="auto"/>
      </w:pPr>
      <w:r>
        <w:t xml:space="preserve">The issue with this system </w:t>
      </w:r>
      <w:r w:rsidR="003B4A23">
        <w:t>was</w:t>
      </w:r>
      <w:r>
        <w:t xml:space="preserve"> the unregulated way in which </w:t>
      </w:r>
      <w:r w:rsidR="002C14B0">
        <w:t xml:space="preserve">banks </w:t>
      </w:r>
      <w:r>
        <w:t>could create paper. When too much paper was created and loans given out with poor diligence, gold flew out of the banks</w:t>
      </w:r>
      <w:r w:rsidR="00FA05F2">
        <w:t xml:space="preserve"> because </w:t>
      </w:r>
      <w:r>
        <w:t xml:space="preserve">depositors wanted </w:t>
      </w:r>
      <w:r w:rsidR="002C14B0">
        <w:t xml:space="preserve">gold instead of paper </w:t>
      </w:r>
      <w:r w:rsidR="003B4A23">
        <w:t xml:space="preserve">- </w:t>
      </w:r>
      <w:r w:rsidR="002C14B0">
        <w:t xml:space="preserve">no longer a reliable substitute for gold. Central banks were created to stabilize this system and only have one type of paper money that only the central bank could print and </w:t>
      </w:r>
      <w:r w:rsidR="00FA05F2">
        <w:t>maintain</w:t>
      </w:r>
      <w:r w:rsidR="002C14B0">
        <w:t xml:space="preserve"> control over the quantity of that paper compared to gold. Nonetheless, given a bank only need</w:t>
      </w:r>
      <w:r w:rsidR="00FA05F2">
        <w:t>s</w:t>
      </w:r>
      <w:r w:rsidR="002C14B0">
        <w:t xml:space="preserve"> to keep a small percentage </w:t>
      </w:r>
      <w:r w:rsidR="002C14B0">
        <w:lastRenderedPageBreak/>
        <w:t xml:space="preserve">of gold or paper compared to the amount of loans they give, their lending activities can multiple the money supply, by a factor of 10 if reserve requirements are 10%. </w:t>
      </w:r>
      <w:r w:rsidR="005041F4">
        <w:t>The monetary economist Allyn Young estimated back in 1924 that 85% of money in the US came from bank loans</w:t>
      </w:r>
      <w:r w:rsidR="005041F4">
        <w:rPr>
          <w:rStyle w:val="FootnoteReference"/>
        </w:rPr>
        <w:footnoteReference w:id="14"/>
      </w:r>
      <w:r w:rsidR="005041F4">
        <w:t>.</w:t>
      </w:r>
    </w:p>
    <w:p w14:paraId="56A0B7F0" w14:textId="607D1B90" w:rsidR="002C14B0" w:rsidRDefault="002C14B0" w:rsidP="00800180">
      <w:pPr>
        <w:pStyle w:val="00Body"/>
        <w:spacing w:line="480" w:lineRule="auto"/>
      </w:pPr>
      <w:r>
        <w:t>With the fall of the gold standard, the independence of central banks from governments, and the emergence of electronic money, the role of banks in money creation and allocation has significantly increased. Most of</w:t>
      </w:r>
      <w:r w:rsidR="00FA05F2">
        <w:t xml:space="preserve"> what people are saving is</w:t>
      </w:r>
      <w:r>
        <w:t xml:space="preserve"> in the form of electronic money </w:t>
      </w:r>
      <w:r w:rsidR="00FA05F2">
        <w:t>i</w:t>
      </w:r>
      <w:r>
        <w:t>n some digital banks account. Most payments happen with a transfer of digits between two bank accounts in the same o</w:t>
      </w:r>
      <w:r w:rsidR="00E45A46">
        <w:t>r</w:t>
      </w:r>
      <w:r>
        <w:t xml:space="preserve"> in different banks. </w:t>
      </w:r>
      <w:r w:rsidR="005041F4">
        <w:t>And m</w:t>
      </w:r>
      <w:r>
        <w:t xml:space="preserve">ost new money creation happens </w:t>
      </w:r>
      <w:r w:rsidR="005041F4">
        <w:t xml:space="preserve">when banks create a new electronic deposit whenever an individual or company </w:t>
      </w:r>
      <w:r w:rsidR="00800180">
        <w:t xml:space="preserve">is approved </w:t>
      </w:r>
      <w:r w:rsidR="005041F4">
        <w:t xml:space="preserve">a new loan. And this money creation is indispensable to enable economic growth: a higher number and value of transactions to enable a bigger economy would be </w:t>
      </w:r>
      <w:r w:rsidR="00E45A46">
        <w:t>im</w:t>
      </w:r>
      <w:r w:rsidR="005041F4">
        <w:t>possible without new money creation. With the velocity of circulation of money (M2) rather constant (</w:t>
      </w:r>
      <w:r w:rsidR="00FA05F2">
        <w:t>except for</w:t>
      </w:r>
      <w:r w:rsidR="005041F4">
        <w:t xml:space="preserve"> </w:t>
      </w:r>
      <w:r w:rsidR="00800180">
        <w:t xml:space="preserve">a fall in </w:t>
      </w:r>
      <w:r w:rsidR="005041F4">
        <w:t xml:space="preserve">times of crisis), </w:t>
      </w:r>
      <w:r w:rsidR="00FA05F2">
        <w:t xml:space="preserve">not </w:t>
      </w:r>
      <w:r w:rsidR="005041F4">
        <w:t xml:space="preserve">growing the money supply would </w:t>
      </w:r>
      <w:r w:rsidR="00FA05F2">
        <w:t xml:space="preserve">make it </w:t>
      </w:r>
      <w:r w:rsidR="005041F4">
        <w:t xml:space="preserve">impossible to grow an economy. </w:t>
      </w:r>
    </w:p>
    <w:p w14:paraId="22FC8840" w14:textId="44E0EE6B" w:rsidR="005041F4" w:rsidRDefault="005041F4" w:rsidP="007A65CF">
      <w:pPr>
        <w:pStyle w:val="00Body"/>
        <w:spacing w:line="480" w:lineRule="auto"/>
      </w:pPr>
      <w:r>
        <w:t>When inflation increased in double digit</w:t>
      </w:r>
      <w:r w:rsidR="00FA05F2">
        <w:t>s</w:t>
      </w:r>
      <w:r>
        <w:t xml:space="preserve"> in the 1970s, the prevalent narrative was one where anything government-led was branded as communist and the market mechanism was </w:t>
      </w:r>
      <w:r w:rsidR="00FA05F2">
        <w:t xml:space="preserve">presented </w:t>
      </w:r>
      <w:r>
        <w:t xml:space="preserve">as perfect and rational. As a result, the role of central banks was curtailed, from one of enabling government priorities and economic development to one more focused on constraining the money supply through the use of reserve requirements </w:t>
      </w:r>
      <w:r w:rsidR="00800180">
        <w:t xml:space="preserve">(initially) </w:t>
      </w:r>
      <w:r>
        <w:t xml:space="preserve">and interest rates </w:t>
      </w:r>
      <w:r w:rsidR="00800180">
        <w:t>(ultimately)</w:t>
      </w:r>
      <w:r>
        <w:t xml:space="preserve">. And the creation and allocation of new money was left to commercial banks through their lending activities. The theory was the following: if a bank </w:t>
      </w:r>
      <w:r w:rsidR="00B03FC1">
        <w:t>is willing to lend to a borrower for a certain interest rate, and a borrower is willing to pay the interest rate, this is the highest assurance that new money would be put to use to generate higher value to afford the repayment of the principal and interests</w:t>
      </w:r>
      <w:r w:rsidR="00E45A46">
        <w:t xml:space="preserve"> and therefore justify the need for more </w:t>
      </w:r>
      <w:r w:rsidR="00E45A46">
        <w:lastRenderedPageBreak/>
        <w:t>money in circulation</w:t>
      </w:r>
      <w:r w:rsidR="00B03FC1">
        <w:t xml:space="preserve">. Tying money creation with a free-market credit-debt agreement </w:t>
      </w:r>
      <w:r w:rsidR="00800180">
        <w:t xml:space="preserve">was seen as </w:t>
      </w:r>
      <w:r w:rsidR="00B03FC1">
        <w:t xml:space="preserve">the best solution to ensure money creation leads to the production of something of higher value. </w:t>
      </w:r>
    </w:p>
    <w:p w14:paraId="6AEB3BB3" w14:textId="774A2163" w:rsidR="00D33656" w:rsidRPr="0052275E" w:rsidRDefault="00B03FC1" w:rsidP="007A65CF">
      <w:pPr>
        <w:pStyle w:val="00Body"/>
        <w:spacing w:line="480" w:lineRule="auto"/>
      </w:pPr>
      <w:r>
        <w:t>This theory, as most of the neoliberal economic theories of the 1970s, clashed with real world data, that instead showed several issues with this free-market model of money creation. First, the majority of bank lending, up to 85% in some estimates</w:t>
      </w:r>
      <w:r w:rsidR="00800180">
        <w:rPr>
          <w:rStyle w:val="FootnoteReference"/>
        </w:rPr>
        <w:footnoteReference w:id="15"/>
      </w:r>
      <w:r>
        <w:t>, ended up</w:t>
      </w:r>
      <w:r w:rsidR="00195679">
        <w:t xml:space="preserve"> being used</w:t>
      </w:r>
      <w:r>
        <w:t xml:space="preserve"> to purchase existing assets, inflating their prices. </w:t>
      </w:r>
      <w:r w:rsidR="00806E68">
        <w:t xml:space="preserve">The availability of a collateral was the best assurance for banks to get their money back. </w:t>
      </w:r>
      <w:r>
        <w:t>Housing represents 15% of the typical consumption basket</w:t>
      </w:r>
      <w:r w:rsidR="00806E68">
        <w:t>, up to 50% for some segment</w:t>
      </w:r>
      <w:r w:rsidR="00AB754B">
        <w:t>s</w:t>
      </w:r>
      <w:r w:rsidR="00806E68">
        <w:t xml:space="preserve"> of the population. </w:t>
      </w:r>
      <w:r w:rsidR="00322D44">
        <w:t xml:space="preserve">With real returns </w:t>
      </w:r>
      <w:r w:rsidR="00806E68">
        <w:t xml:space="preserve">on housing </w:t>
      </w:r>
      <w:r w:rsidR="00322D44">
        <w:t xml:space="preserve">of around </w:t>
      </w:r>
      <w:r w:rsidR="00806E68">
        <w:t xml:space="preserve">7% </w:t>
      </w:r>
      <w:r w:rsidR="00322D44">
        <w:t xml:space="preserve">per year </w:t>
      </w:r>
      <w:r w:rsidR="00800180">
        <w:t xml:space="preserve">and approximating </w:t>
      </w:r>
      <w:r w:rsidR="00322D44">
        <w:t>house inflation to also be around 7% per year</w:t>
      </w:r>
      <w:r w:rsidR="00800180">
        <w:rPr>
          <w:rStyle w:val="FootnoteReference"/>
        </w:rPr>
        <w:footnoteReference w:id="16"/>
      </w:r>
      <w:r w:rsidR="00800180">
        <w:t xml:space="preserve">, house </w:t>
      </w:r>
      <w:r w:rsidR="00806E68">
        <w:t xml:space="preserve">prices alone </w:t>
      </w:r>
      <w:r w:rsidR="00322D44">
        <w:t xml:space="preserve">are </w:t>
      </w:r>
      <w:r w:rsidR="00806E68">
        <w:t xml:space="preserve">responsible for 1 to 3.5 percentage points of </w:t>
      </w:r>
      <w:r w:rsidR="00800180">
        <w:t xml:space="preserve">yearly </w:t>
      </w:r>
      <w:r w:rsidR="00806E68">
        <w:t>inflation. This does not even include the impact that higher costs of rent has for all the other products and services where rent is a big cost component.</w:t>
      </w:r>
      <w:r>
        <w:t xml:space="preserve"> </w:t>
      </w:r>
      <w:r w:rsidR="00806E68">
        <w:t>Second, c</w:t>
      </w:r>
      <w:r>
        <w:t xml:space="preserve">ommercial banks are also </w:t>
      </w:r>
      <w:r w:rsidR="00322D44">
        <w:t xml:space="preserve">prone to </w:t>
      </w:r>
      <w:r>
        <w:t>cognitive biases and greed, leading them to create too much money in good times, causing financial crisis including the 2008 great recession, and too little in bad times, forcing central banks to intervene with money creation of their own</w:t>
      </w:r>
      <w:r w:rsidR="00806E68">
        <w:t xml:space="preserve"> to help the economy slowly recover</w:t>
      </w:r>
      <w:r>
        <w:t xml:space="preserve">. </w:t>
      </w:r>
      <w:r w:rsidR="00806E68">
        <w:t xml:space="preserve">Third, any increase of the money supply by banks is associated with an increase in debt. And the more the distribution of income is unequal, the more the new money created ends up </w:t>
      </w:r>
      <w:r w:rsidR="00800180">
        <w:t xml:space="preserve">in the bank accounts of those with no debts to repay, while </w:t>
      </w:r>
      <w:r w:rsidR="00806E68">
        <w:t xml:space="preserve">the majority of people increase their </w:t>
      </w:r>
      <w:r w:rsidR="00322D44">
        <w:t xml:space="preserve">stock of </w:t>
      </w:r>
      <w:r w:rsidR="00806E68">
        <w:t>debt, be that a mortgage, credit card, student loan, car loan, etc. Private and public debt levels have now exceeded 300% of GDP and continue to rise</w:t>
      </w:r>
      <w:r w:rsidR="00800180">
        <w:rPr>
          <w:rStyle w:val="FootnoteReference"/>
        </w:rPr>
        <w:footnoteReference w:id="17"/>
      </w:r>
      <w:r w:rsidR="00806E68" w:rsidRPr="00322D44">
        <w:rPr>
          <w:color w:val="FF0000"/>
        </w:rPr>
        <w:t xml:space="preserve">. </w:t>
      </w:r>
      <w:r w:rsidR="008E0473">
        <w:t>Lastly</w:t>
      </w:r>
      <w:r w:rsidR="00806E68">
        <w:t>, much of this new money created by bank does not go to</w:t>
      </w:r>
      <w:r w:rsidR="008E0473">
        <w:t>wards</w:t>
      </w:r>
      <w:r w:rsidR="00806E68">
        <w:t xml:space="preserve"> </w:t>
      </w:r>
      <w:r w:rsidR="0052275E">
        <w:t>solv</w:t>
      </w:r>
      <w:r w:rsidR="008E0473">
        <w:t>ing</w:t>
      </w:r>
      <w:r w:rsidR="0052275E">
        <w:t xml:space="preserve"> the biggest challenges society is trying to tackle.</w:t>
      </w:r>
      <w:r w:rsidR="008E0473">
        <w:t xml:space="preserve"> With</w:t>
      </w:r>
      <w:r w:rsidR="0052275E">
        <w:t xml:space="preserve"> climate change for example, most of the </w:t>
      </w:r>
      <w:r w:rsidR="0052275E">
        <w:lastRenderedPageBreak/>
        <w:t xml:space="preserve">decarbonization projects are funded by governments, NGOs, or private investors. Banks fund established companies that typically </w:t>
      </w:r>
      <w:r w:rsidR="00322D44">
        <w:t xml:space="preserve">produce </w:t>
      </w:r>
      <w:r w:rsidR="0052275E">
        <w:t xml:space="preserve">fossil fuels or are powered by </w:t>
      </w:r>
      <w:r w:rsidR="00322D44">
        <w:t>them</w:t>
      </w:r>
      <w:r w:rsidR="0052275E">
        <w:t>. Only post Covid-19, with much pressure from NGOs, some European central banks have pledged to consider climate change when creating and allocating money as part of their monetary policy operations. And these monetary policy operations are growing in size by the decade, suggesting that maybe society needs to rethink the conventional free-market mechanism for creating and allocating money.</w:t>
      </w:r>
    </w:p>
    <w:p w14:paraId="3AA270A7" w14:textId="7C3CFBEB" w:rsidR="004E36B5" w:rsidRPr="0052275E" w:rsidRDefault="004E36B5" w:rsidP="007A65CF">
      <w:pPr>
        <w:pStyle w:val="h1"/>
        <w:spacing w:line="480" w:lineRule="auto"/>
      </w:pPr>
      <w:r w:rsidRPr="0052275E">
        <w:t>2008 and Covid</w:t>
      </w:r>
      <w:r w:rsidR="0052275E">
        <w:t>-19</w:t>
      </w:r>
      <w:r w:rsidRPr="0052275E">
        <w:t xml:space="preserve">: </w:t>
      </w:r>
      <w:r w:rsidR="0052275E">
        <w:t xml:space="preserve">Central Banks </w:t>
      </w:r>
      <w:r w:rsidRPr="0052275E">
        <w:t xml:space="preserve">Opening the </w:t>
      </w:r>
      <w:r w:rsidR="0052275E">
        <w:t>P</w:t>
      </w:r>
      <w:r w:rsidRPr="0052275E">
        <w:t xml:space="preserve">andora </w:t>
      </w:r>
      <w:r w:rsidR="0052275E">
        <w:t>B</w:t>
      </w:r>
      <w:r w:rsidRPr="0052275E">
        <w:t>ox</w:t>
      </w:r>
    </w:p>
    <w:p w14:paraId="6FE5D6AC" w14:textId="71EFD9C2" w:rsidR="007E695B" w:rsidRDefault="0052275E" w:rsidP="007A65CF">
      <w:pPr>
        <w:pStyle w:val="00Body"/>
        <w:spacing w:line="480" w:lineRule="auto"/>
        <w:rPr>
          <w:lang w:val="en-GB"/>
        </w:rPr>
      </w:pPr>
      <w:r w:rsidRPr="007E695B">
        <w:t xml:space="preserve">In response to </w:t>
      </w:r>
      <w:r w:rsidR="007E695B" w:rsidRPr="007E695B">
        <w:t xml:space="preserve">the 2008 </w:t>
      </w:r>
      <w:r w:rsidR="007E695B">
        <w:t xml:space="preserve">crisis, central banks printed trillions of dollars to compensate for commercial banks’ credit crunch as well as to bail-out ailing financial institutions. The response </w:t>
      </w:r>
      <w:r w:rsidR="008E0473">
        <w:t xml:space="preserve">to </w:t>
      </w:r>
      <w:r w:rsidR="007E695B">
        <w:t>Covid</w:t>
      </w:r>
      <w:r w:rsidR="00C446FA">
        <w:t>-19</w:t>
      </w:r>
      <w:r w:rsidR="007E695B">
        <w:t xml:space="preserve"> was even larger: </w:t>
      </w:r>
      <w:r w:rsidR="007E695B" w:rsidRPr="00D33E8B">
        <w:rPr>
          <w:lang w:val="en-GB"/>
        </w:rPr>
        <w:t>The F</w:t>
      </w:r>
      <w:r w:rsidR="007E695B">
        <w:rPr>
          <w:lang w:val="en-GB"/>
        </w:rPr>
        <w:t>ed</w:t>
      </w:r>
      <w:r w:rsidR="007E695B" w:rsidRPr="00D33E8B">
        <w:rPr>
          <w:lang w:val="en-GB"/>
        </w:rPr>
        <w:t xml:space="preserve"> increased its balance sheet by three trillion USD between </w:t>
      </w:r>
      <w:r w:rsidR="007E695B">
        <w:rPr>
          <w:lang w:val="en-GB"/>
        </w:rPr>
        <w:t>M</w:t>
      </w:r>
      <w:r w:rsidR="007E695B" w:rsidRPr="00D33E8B">
        <w:rPr>
          <w:lang w:val="en-GB"/>
        </w:rPr>
        <w:t>arch and May 2020, three time</w:t>
      </w:r>
      <w:r w:rsidR="007E695B">
        <w:rPr>
          <w:lang w:val="en-GB"/>
        </w:rPr>
        <w:t>s</w:t>
      </w:r>
      <w:r w:rsidR="007E695B" w:rsidRPr="00D33E8B">
        <w:rPr>
          <w:lang w:val="en-GB"/>
        </w:rPr>
        <w:t xml:space="preserve"> as big as the injection immediately after September 2008. </w:t>
      </w:r>
      <w:r w:rsidR="007E695B">
        <w:rPr>
          <w:lang w:val="en-GB"/>
        </w:rPr>
        <w:t>On the other side of the Atlantic, t</w:t>
      </w:r>
      <w:r w:rsidR="007E695B" w:rsidRPr="00D33E8B">
        <w:rPr>
          <w:lang w:val="en-GB"/>
        </w:rPr>
        <w:t>he ECB increased it</w:t>
      </w:r>
      <w:r w:rsidR="007E695B">
        <w:rPr>
          <w:lang w:val="en-GB"/>
        </w:rPr>
        <w:t>s balance sheet</w:t>
      </w:r>
      <w:r w:rsidR="007E695B" w:rsidRPr="00D33E8B">
        <w:rPr>
          <w:lang w:val="en-GB"/>
        </w:rPr>
        <w:t xml:space="preserve"> by two trillion </w:t>
      </w:r>
      <w:r w:rsidR="007E695B">
        <w:rPr>
          <w:lang w:val="en-GB"/>
        </w:rPr>
        <w:t>euro</w:t>
      </w:r>
      <w:r w:rsidR="007E695B" w:rsidRPr="00D33E8B">
        <w:rPr>
          <w:lang w:val="en-GB"/>
        </w:rPr>
        <w:t xml:space="preserve"> between March and September 2020</w:t>
      </w:r>
      <w:r w:rsidR="007E695B">
        <w:rPr>
          <w:lang w:val="en-GB"/>
        </w:rPr>
        <w:t xml:space="preserve">. </w:t>
      </w:r>
      <w:r w:rsidR="00054C28">
        <w:rPr>
          <w:lang w:val="en-GB"/>
        </w:rPr>
        <w:t xml:space="preserve">These are signs that the market process of creating and allocating money is often insufficient. It is also a sign that </w:t>
      </w:r>
      <w:r w:rsidR="008776E3">
        <w:rPr>
          <w:lang w:val="en-GB"/>
        </w:rPr>
        <w:t xml:space="preserve">money printing operations </w:t>
      </w:r>
      <w:r w:rsidR="007E695B">
        <w:rPr>
          <w:lang w:val="en-GB"/>
        </w:rPr>
        <w:t>do not necessarily lead to inflation</w:t>
      </w:r>
      <w:r w:rsidR="00054C28">
        <w:rPr>
          <w:lang w:val="en-GB"/>
        </w:rPr>
        <w:t xml:space="preserve">, given inflation has only started to </w:t>
      </w:r>
      <w:r w:rsidR="00322D44">
        <w:rPr>
          <w:lang w:val="en-GB"/>
        </w:rPr>
        <w:t xml:space="preserve">budge due to </w:t>
      </w:r>
      <w:r w:rsidR="00054C28">
        <w:rPr>
          <w:lang w:val="en-GB"/>
        </w:rPr>
        <w:t xml:space="preserve">supply-related </w:t>
      </w:r>
      <w:r w:rsidR="00322D44">
        <w:rPr>
          <w:lang w:val="en-GB"/>
        </w:rPr>
        <w:t xml:space="preserve">shocks post </w:t>
      </w:r>
      <w:r w:rsidR="00054C28">
        <w:rPr>
          <w:lang w:val="en-GB"/>
        </w:rPr>
        <w:t>Covid-19.</w:t>
      </w:r>
    </w:p>
    <w:p w14:paraId="393AFFB0" w14:textId="0DCBCF0C" w:rsidR="008776E3" w:rsidRPr="008776E3" w:rsidRDefault="008776E3" w:rsidP="007A65CF">
      <w:pPr>
        <w:pStyle w:val="00Body"/>
        <w:spacing w:line="480" w:lineRule="auto"/>
      </w:pPr>
      <w:r w:rsidRPr="008776E3">
        <w:t xml:space="preserve">It is natural to ask </w:t>
      </w:r>
      <w:r w:rsidR="00054C28">
        <w:t xml:space="preserve">a </w:t>
      </w:r>
      <w:r w:rsidRPr="008776E3">
        <w:t>few questions: could central banks’ money printing be directed to solve society’s biggest challenges, be that climate change or poverty? Could central banks start acting pre</w:t>
      </w:r>
      <w:r w:rsidR="00C446FA">
        <w:t xml:space="preserve">emptively </w:t>
      </w:r>
      <w:r w:rsidRPr="008776E3">
        <w:t xml:space="preserve">with money creation and use that to avoid foreseeable crisis? Even more fundamentally, could central banks or any </w:t>
      </w:r>
      <w:r w:rsidR="00322D44">
        <w:t xml:space="preserve">other </w:t>
      </w:r>
      <w:r w:rsidRPr="008776E3">
        <w:t xml:space="preserve">institution for that matter, allocate new money creation more </w:t>
      </w:r>
      <w:r w:rsidR="00322D44">
        <w:t xml:space="preserve">effectively </w:t>
      </w:r>
      <w:r w:rsidRPr="008776E3">
        <w:t xml:space="preserve">than </w:t>
      </w:r>
      <w:r w:rsidR="008E0473">
        <w:t>how</w:t>
      </w:r>
      <w:r w:rsidR="008E0473" w:rsidRPr="008776E3">
        <w:t xml:space="preserve"> </w:t>
      </w:r>
      <w:r w:rsidRPr="008776E3">
        <w:t xml:space="preserve">commercial banks are? </w:t>
      </w:r>
    </w:p>
    <w:p w14:paraId="5E48FE99" w14:textId="422131FE" w:rsidR="003210DC" w:rsidRDefault="008776E3" w:rsidP="00322D44">
      <w:pPr>
        <w:pStyle w:val="00Body"/>
        <w:spacing w:line="480" w:lineRule="auto"/>
      </w:pPr>
      <w:r w:rsidRPr="008776E3">
        <w:t xml:space="preserve">The answer to the first question is that </w:t>
      </w:r>
      <w:r w:rsidR="00C446FA">
        <w:t>c</w:t>
      </w:r>
      <w:r w:rsidR="00C446FA" w:rsidRPr="008776E3">
        <w:t xml:space="preserve">entral </w:t>
      </w:r>
      <w:r w:rsidR="00C446FA">
        <w:t>b</w:t>
      </w:r>
      <w:r w:rsidR="00C446FA" w:rsidRPr="008776E3">
        <w:t xml:space="preserve">anks </w:t>
      </w:r>
      <w:r w:rsidRPr="008776E3">
        <w:t xml:space="preserve">are relatively constrained in what they can do with new money </w:t>
      </w:r>
      <w:r w:rsidR="00322D44">
        <w:t>creation</w:t>
      </w:r>
      <w:r w:rsidRPr="008776E3">
        <w:t xml:space="preserve">. </w:t>
      </w:r>
      <w:r w:rsidR="000A67FB">
        <w:t xml:space="preserve">Today they mostly buy existing assets and lend cheaply to banks, hoping that commercial banks </w:t>
      </w:r>
      <w:r w:rsidR="00322D44">
        <w:t xml:space="preserve">would then </w:t>
      </w:r>
      <w:r w:rsidR="000A67FB">
        <w:t xml:space="preserve">lend cheaply and </w:t>
      </w:r>
      <w:r w:rsidR="008E0473">
        <w:t xml:space="preserve">in larger amounts </w:t>
      </w:r>
      <w:r w:rsidR="000A67FB">
        <w:t xml:space="preserve">to their </w:t>
      </w:r>
      <w:r w:rsidR="000A67FB">
        <w:lastRenderedPageBreak/>
        <w:t xml:space="preserve">customers. While this approach has shown to have better economic outcomes than not </w:t>
      </w:r>
      <w:r w:rsidR="00322D44">
        <w:t xml:space="preserve">creating </w:t>
      </w:r>
      <w:r w:rsidR="000A67FB">
        <w:t xml:space="preserve">money at all – think of the 1929 crisis – it also has several limitations. It is not very fast to restart growth. For example, much of this money </w:t>
      </w:r>
      <w:r w:rsidR="003761AE">
        <w:t xml:space="preserve">often </w:t>
      </w:r>
      <w:r w:rsidR="000A67FB">
        <w:t xml:space="preserve">ends up </w:t>
      </w:r>
      <w:r w:rsidR="003761AE">
        <w:t xml:space="preserve">in commercial bank accounts at the </w:t>
      </w:r>
      <w:r w:rsidR="000A67FB">
        <w:t>central bank</w:t>
      </w:r>
      <w:r w:rsidR="003761AE">
        <w:t xml:space="preserve"> </w:t>
      </w:r>
      <w:r w:rsidR="000A67FB">
        <w:t>as excess reserve</w:t>
      </w:r>
      <w:r w:rsidR="003761AE">
        <w:t>s</w:t>
      </w:r>
      <w:r w:rsidR="000A67FB">
        <w:t xml:space="preserve">. It also leads to appreciation of asset prices, to the advantage of those owning assets </w:t>
      </w:r>
      <w:r w:rsidR="00DF5262">
        <w:t xml:space="preserve">and less so of those renting. And there is no way of influencing where that money ends up. The fact that </w:t>
      </w:r>
      <w:r w:rsidR="00DF5262" w:rsidRPr="00DF5262">
        <w:t xml:space="preserve">95% of income growth after the 2008 crisis has gone to the </w:t>
      </w:r>
      <w:r w:rsidR="00DF5262">
        <w:t xml:space="preserve">richest </w:t>
      </w:r>
      <w:r w:rsidR="00DF5262" w:rsidRPr="00DF5262">
        <w:t>1%</w:t>
      </w:r>
      <w:r w:rsidR="00DF5262">
        <w:rPr>
          <w:rStyle w:val="FootnoteReference"/>
        </w:rPr>
        <w:footnoteReference w:id="18"/>
      </w:r>
      <w:r w:rsidR="00DF5262">
        <w:t xml:space="preserve"> </w:t>
      </w:r>
      <w:r w:rsidR="00322D44">
        <w:t xml:space="preserve">in the Unites States </w:t>
      </w:r>
      <w:r w:rsidR="00DF5262">
        <w:t>suggests that quantitative easing does not reduce income inequality</w:t>
      </w:r>
      <w:r w:rsidR="00DF5262" w:rsidRPr="00DF5262">
        <w:t>.</w:t>
      </w:r>
      <w:r w:rsidR="00DF5262">
        <w:t xml:space="preserve"> </w:t>
      </w:r>
      <w:r w:rsidR="003761AE">
        <w:t xml:space="preserve">Why would central banks not just give money to people instead? Isn’t this a more fair way to inject money in society? Technically, central banks </w:t>
      </w:r>
      <w:r w:rsidRPr="008776E3">
        <w:t>cannot grant money, although they could get the government to issue perpetual bond</w:t>
      </w:r>
      <w:r w:rsidR="008E0473">
        <w:t>s</w:t>
      </w:r>
      <w:r w:rsidRPr="008776E3">
        <w:t xml:space="preserve"> at 0% interest rate</w:t>
      </w:r>
      <w:r w:rsidR="003761AE">
        <w:t xml:space="preserve">, </w:t>
      </w:r>
      <w:r w:rsidRPr="008776E3">
        <w:t>buy those bonds, and with th</w:t>
      </w:r>
      <w:r w:rsidR="003761AE">
        <w:t>at</w:t>
      </w:r>
      <w:r w:rsidRPr="008776E3">
        <w:t xml:space="preserve"> money the government could fund a UBI program. One could argue that when central banks buy government bonds at very low interest rates as part of quantitative easing operations, the process is not much dissimilar. </w:t>
      </w:r>
      <w:r w:rsidR="00DF5262">
        <w:t xml:space="preserve">Both the Trump and the Biden administration benefitted from this process to increase public debts and distribute money straight to people. </w:t>
      </w:r>
      <w:r w:rsidRPr="008776E3">
        <w:t xml:space="preserve">But central banks </w:t>
      </w:r>
      <w:r w:rsidR="00DF5262">
        <w:t xml:space="preserve">could </w:t>
      </w:r>
      <w:r w:rsidRPr="008776E3">
        <w:t>revert this policy whenever inflation change</w:t>
      </w:r>
      <w:r w:rsidR="00DF5262">
        <w:t>s</w:t>
      </w:r>
      <w:r w:rsidRPr="008776E3">
        <w:t xml:space="preserve"> direction, and therefore this way of funding a UBI would not be sustainable</w:t>
      </w:r>
      <w:r>
        <w:t xml:space="preserve">. </w:t>
      </w:r>
      <w:r w:rsidR="00DF5262">
        <w:t>T</w:t>
      </w:r>
      <w:r>
        <w:t xml:space="preserve">he second question becomes </w:t>
      </w:r>
      <w:r w:rsidR="00DF5262">
        <w:t xml:space="preserve">therefore </w:t>
      </w:r>
      <w:r>
        <w:t>relevant: is it time for central banks to become more involved in tackling some of the biggest social challenges</w:t>
      </w:r>
      <w:r w:rsidR="00DF5262">
        <w:t>?</w:t>
      </w:r>
      <w:r>
        <w:t xml:space="preserve"> Could </w:t>
      </w:r>
      <w:r w:rsidR="003210DC">
        <w:t xml:space="preserve">governments for example change the mandate of central banks, and include climate changes and funding a UBI as part of </w:t>
      </w:r>
      <w:r w:rsidR="00DF5262">
        <w:t xml:space="preserve">the </w:t>
      </w:r>
      <w:r w:rsidR="003210DC">
        <w:t xml:space="preserve">mandate, while having to still keep inflation in check? One might argue this is just a prevention of foreseeable crisis. Poverty and increasing inequality will just lead to a new debt crisis. Debts are piling </w:t>
      </w:r>
      <w:r w:rsidR="008E0473">
        <w:t xml:space="preserve">on top of </w:t>
      </w:r>
      <w:r w:rsidR="003210DC">
        <w:t xml:space="preserve">households while wages and incomes are </w:t>
      </w:r>
      <w:r w:rsidR="008E0473">
        <w:t>stagnating</w:t>
      </w:r>
      <w:r w:rsidR="003210DC">
        <w:t xml:space="preserve"> for </w:t>
      </w:r>
      <w:r w:rsidR="008E0473">
        <w:t>most of</w:t>
      </w:r>
      <w:r w:rsidR="003210DC">
        <w:t xml:space="preserve"> the population, so a new debt crisis would only be a matter of time. A UBI funded with central banks’ money could instead </w:t>
      </w:r>
      <w:r w:rsidR="00322D44">
        <w:t xml:space="preserve">help </w:t>
      </w:r>
      <w:r w:rsidR="003210DC">
        <w:t xml:space="preserve">people to pay back some of their loans and reduce debt in society. Debt repayments would actually reduce banks’ money. If </w:t>
      </w:r>
      <w:r w:rsidR="003210DC">
        <w:lastRenderedPageBreak/>
        <w:t xml:space="preserve">well-managed, central banks funding a UBI program with a parallel increase in the cost of banks to give loans – whether through interest rates or reserve requirements – could keep the money supply unchanged but reduce the dependency of the economy and society from debt and from banks. A similar argument would hold for central banks funding and expediting the green transition. </w:t>
      </w:r>
      <w:r w:rsidR="00322D44">
        <w:t xml:space="preserve">But any </w:t>
      </w:r>
      <w:r w:rsidR="003210DC">
        <w:t>of these proposal</w:t>
      </w:r>
      <w:r w:rsidR="00322D44">
        <w:t>s</w:t>
      </w:r>
      <w:r w:rsidR="003210DC">
        <w:t xml:space="preserve"> </w:t>
      </w:r>
      <w:r w:rsidR="00F40134">
        <w:t xml:space="preserve">are challenging the </w:t>
      </w:r>
      <w:r w:rsidR="00322D44">
        <w:t xml:space="preserve">effectiveness </w:t>
      </w:r>
      <w:r w:rsidR="00F40134">
        <w:t>of the money market</w:t>
      </w:r>
      <w:r w:rsidR="00322D44">
        <w:t>s</w:t>
      </w:r>
      <w:r w:rsidR="00F40134">
        <w:t xml:space="preserve"> in creating and allocating money to the best uses. </w:t>
      </w:r>
      <w:r w:rsidR="00322D44">
        <w:t xml:space="preserve">This </w:t>
      </w:r>
      <w:r w:rsidR="00F40134">
        <w:t>is a fundamental challenge to the degree to which capitalism’s relatively unbridled markets are good enough to cope with 21</w:t>
      </w:r>
      <w:r w:rsidR="00F40134" w:rsidRPr="00F40134">
        <w:rPr>
          <w:vertAlign w:val="superscript"/>
        </w:rPr>
        <w:t>st</w:t>
      </w:r>
      <w:r w:rsidR="00F40134">
        <w:t xml:space="preserve"> century challenges. Or from a more inspirational view-point, could society pursue an evolution of capitalism that include</w:t>
      </w:r>
      <w:r w:rsidR="008E0473">
        <w:t>s</w:t>
      </w:r>
      <w:r w:rsidR="00F40134">
        <w:t xml:space="preserve"> central banks funding a UBI and brin</w:t>
      </w:r>
      <w:r w:rsidR="001764C2">
        <w:t>g</w:t>
      </w:r>
      <w:r w:rsidR="00F40134">
        <w:t xml:space="preserve">ing 100% of people above the comfort threshold? Is this opportunity </w:t>
      </w:r>
      <w:r w:rsidR="00C446FA">
        <w:t xml:space="preserve">within </w:t>
      </w:r>
      <w:r w:rsidR="00F40134">
        <w:t>grasp?</w:t>
      </w:r>
    </w:p>
    <w:p w14:paraId="2E114B80" w14:textId="53E11430" w:rsidR="004E36B5" w:rsidRPr="00F40134" w:rsidRDefault="004E36B5" w:rsidP="007A65CF">
      <w:pPr>
        <w:pStyle w:val="h1"/>
        <w:spacing w:line="480" w:lineRule="auto"/>
      </w:pPr>
      <w:r w:rsidRPr="00F40134">
        <w:t>Outgrowing Capitalism</w:t>
      </w:r>
    </w:p>
    <w:p w14:paraId="19CF44DA" w14:textId="0E87ADAD" w:rsidR="00F40134" w:rsidRDefault="00F40134" w:rsidP="007A65CF">
      <w:pPr>
        <w:pStyle w:val="00Body"/>
        <w:spacing w:line="480" w:lineRule="auto"/>
      </w:pPr>
      <w:r w:rsidRPr="00F40134">
        <w:t xml:space="preserve">While </w:t>
      </w:r>
      <w:r w:rsidR="000A67FB">
        <w:t xml:space="preserve">capitalism has been a driver of prosperity for several centuries, is it possible that some of its constraints –particularly the </w:t>
      </w:r>
      <w:r w:rsidR="00DF5262">
        <w:t xml:space="preserve">predominant role of </w:t>
      </w:r>
      <w:r w:rsidR="000A67FB">
        <w:t xml:space="preserve">private banks in </w:t>
      </w:r>
      <w:r w:rsidR="00DF5262">
        <w:t>expanding and allocating the money supply</w:t>
      </w:r>
      <w:r w:rsidR="000A67FB">
        <w:t xml:space="preserve">– is now an unnecessary limitation to further prosperity? </w:t>
      </w:r>
    </w:p>
    <w:p w14:paraId="1A1DE24F" w14:textId="7EC377E0" w:rsidR="00DF5262" w:rsidRDefault="00DF5262" w:rsidP="007A65CF">
      <w:pPr>
        <w:pStyle w:val="00Body"/>
        <w:spacing w:line="480" w:lineRule="auto"/>
      </w:pPr>
      <w:r>
        <w:t xml:space="preserve">Capitalism more in general has been designed for maximizing production, </w:t>
      </w:r>
      <w:r w:rsidR="00961AA6">
        <w:t xml:space="preserve">with the foundational assumption from Jean Baptiste Say that as suppliers invest to produce more, they employ more workers and their wages enables the increasing consumption that justify further investments. This conceptual model describes a supply-driven economy where all that matters is the capital to allow workers to become more productive. Full employment is the natural state and higher productivity translates in higher wages, consumption and therefore welfare. Most </w:t>
      </w:r>
      <w:r w:rsidR="00547472">
        <w:t xml:space="preserve"> </w:t>
      </w:r>
      <w:r w:rsidR="00961AA6">
        <w:t>economic models are still based on these assumptions from</w:t>
      </w:r>
      <w:r w:rsidR="00547472">
        <w:t xml:space="preserve"> the</w:t>
      </w:r>
      <w:r w:rsidR="00961AA6">
        <w:t xml:space="preserve"> 1800s. But some of these assumption</w:t>
      </w:r>
      <w:r w:rsidR="001764C2">
        <w:t>s</w:t>
      </w:r>
      <w:r w:rsidR="00961AA6">
        <w:t xml:space="preserve"> are becoming increasingly difficult to accept</w:t>
      </w:r>
      <w:r w:rsidR="001764C2">
        <w:t xml:space="preserve"> given real world data, where the </w:t>
      </w:r>
      <w:r w:rsidR="00961AA6">
        <w:t xml:space="preserve">unequal distribution </w:t>
      </w:r>
      <w:r w:rsidR="001764C2">
        <w:t xml:space="preserve">of income </w:t>
      </w:r>
      <w:r w:rsidR="00961AA6">
        <w:t xml:space="preserve">is actually the weak link </w:t>
      </w:r>
      <w:r w:rsidR="00547472">
        <w:t xml:space="preserve">preventing </w:t>
      </w:r>
      <w:r w:rsidR="00961AA6">
        <w:t xml:space="preserve">further growth. </w:t>
      </w:r>
      <w:r w:rsidR="00CC5C7D">
        <w:t>There is an emerging consensus</w:t>
      </w:r>
      <w:r w:rsidR="001764C2">
        <w:t xml:space="preserve">, backed by 40 years of data across several </w:t>
      </w:r>
      <w:r w:rsidR="001764C2">
        <w:lastRenderedPageBreak/>
        <w:t>OECD countries</w:t>
      </w:r>
      <w:r w:rsidR="00C446FA">
        <w:rPr>
          <w:rStyle w:val="FootnoteReference"/>
        </w:rPr>
        <w:footnoteReference w:id="19"/>
      </w:r>
      <w:r w:rsidR="001764C2">
        <w:t xml:space="preserve">, </w:t>
      </w:r>
      <w:r w:rsidR="00CC5C7D">
        <w:t xml:space="preserve">that employment </w:t>
      </w:r>
      <w:r w:rsidR="001764C2">
        <w:t xml:space="preserve">and especially wages </w:t>
      </w:r>
      <w:r w:rsidR="00CC5C7D">
        <w:t>no longer grow with productivity</w:t>
      </w:r>
      <w:r w:rsidR="001764C2">
        <w:t xml:space="preserve">, making </w:t>
      </w:r>
      <w:r w:rsidR="00CC5C7D">
        <w:t>income</w:t>
      </w:r>
      <w:r w:rsidR="001764C2">
        <w:t xml:space="preserve"> </w:t>
      </w:r>
      <w:r w:rsidR="00CC5C7D">
        <w:t>and wealth more concentrated</w:t>
      </w:r>
      <w:r w:rsidR="001764C2">
        <w:t>.</w:t>
      </w:r>
      <w:r w:rsidR="00CC5C7D">
        <w:t xml:space="preserve"> </w:t>
      </w:r>
      <w:r w:rsidR="001764C2">
        <w:t>T</w:t>
      </w:r>
      <w:r w:rsidR="00CC5C7D">
        <w:t xml:space="preserve">hose with </w:t>
      </w:r>
      <w:r w:rsidR="001764C2">
        <w:t xml:space="preserve">high </w:t>
      </w:r>
      <w:r w:rsidR="00CC5C7D">
        <w:t xml:space="preserve">income </w:t>
      </w:r>
      <w:r w:rsidR="001764C2">
        <w:t xml:space="preserve">and wealth </w:t>
      </w:r>
      <w:r w:rsidR="00CC5C7D">
        <w:t>have a lower propensity to consume</w:t>
      </w:r>
      <w:r w:rsidR="001764C2">
        <w:t xml:space="preserve"> as a share of their income and wealth</w:t>
      </w:r>
      <w:r w:rsidR="00CC5C7D">
        <w:t xml:space="preserve">, and </w:t>
      </w:r>
      <w:r w:rsidR="001764C2">
        <w:t xml:space="preserve">with weak </w:t>
      </w:r>
      <w:r w:rsidR="00CC5C7D">
        <w:t>private consumption companies are investing less and slowing down growth in what is often referred to</w:t>
      </w:r>
      <w:r w:rsidR="00547472">
        <w:t xml:space="preserve"> as</w:t>
      </w:r>
      <w:r w:rsidR="00CC5C7D">
        <w:t xml:space="preserve"> secular stagnation. There is an emerging consensus on some version of this phenomenon among economists and institutions, including the IMF</w:t>
      </w:r>
      <w:r w:rsidR="00CC5C7D">
        <w:rPr>
          <w:rStyle w:val="FootnoteReference"/>
        </w:rPr>
        <w:footnoteReference w:id="20"/>
      </w:r>
      <w:r w:rsidR="00CC5C7D">
        <w:t>, the OECD</w:t>
      </w:r>
      <w:r w:rsidR="00CC5C7D">
        <w:rPr>
          <w:rStyle w:val="FootnoteReference"/>
        </w:rPr>
        <w:footnoteReference w:id="21"/>
      </w:r>
      <w:r w:rsidR="00CC5C7D">
        <w:t>, the Economic Policy Institute</w:t>
      </w:r>
      <w:r w:rsidR="00CC5C7D">
        <w:rPr>
          <w:rStyle w:val="FootnoteReference"/>
        </w:rPr>
        <w:footnoteReference w:id="22"/>
      </w:r>
      <w:r w:rsidR="00CC5C7D">
        <w:t>, The Brooking Institutions</w:t>
      </w:r>
      <w:r w:rsidR="00CC5C7D">
        <w:rPr>
          <w:rStyle w:val="FootnoteReference"/>
        </w:rPr>
        <w:footnoteReference w:id="23"/>
      </w:r>
      <w:r w:rsidR="00CC5C7D">
        <w:t>, and the list goes on.</w:t>
      </w:r>
      <w:r w:rsidR="008E2688">
        <w:t xml:space="preserve"> To this average situation, one needs to consider the recessions that </w:t>
      </w:r>
      <w:r w:rsidR="001764C2">
        <w:t>a credit-based monetary system facilitates. I</w:t>
      </w:r>
      <w:r w:rsidR="008E2688">
        <w:t xml:space="preserve">ncreasing inequality </w:t>
      </w:r>
      <w:r w:rsidR="001764C2">
        <w:t xml:space="preserve">with </w:t>
      </w:r>
      <w:r w:rsidR="008E2688">
        <w:t>money supply only grow</w:t>
      </w:r>
      <w:r w:rsidR="001764C2">
        <w:t>ing</w:t>
      </w:r>
      <w:r w:rsidR="008E2688">
        <w:t xml:space="preserve"> together with credit-debts agreements</w:t>
      </w:r>
      <w:r w:rsidR="001764C2">
        <w:t xml:space="preserve"> leads all </w:t>
      </w:r>
      <w:r w:rsidR="008E2688">
        <w:t>debt</w:t>
      </w:r>
      <w:r w:rsidR="001764C2">
        <w:t xml:space="preserve"> to cumulate among</w:t>
      </w:r>
      <w:r w:rsidR="00547472">
        <w:t>st</w:t>
      </w:r>
      <w:r w:rsidR="001764C2">
        <w:t xml:space="preserve"> those that can’t afford to repay it</w:t>
      </w:r>
      <w:r w:rsidR="008E2688">
        <w:t>. The periodic recessions have been show to decrease the long term potential of our economy, as companies invest and innovate less during times of crisis</w:t>
      </w:r>
      <w:r w:rsidR="008E2688">
        <w:rPr>
          <w:rStyle w:val="FootnoteReference"/>
        </w:rPr>
        <w:footnoteReference w:id="24"/>
      </w:r>
      <w:r w:rsidR="008E2688">
        <w:t>.</w:t>
      </w:r>
    </w:p>
    <w:p w14:paraId="5A53F822" w14:textId="28568884" w:rsidR="008E2688" w:rsidRDefault="008E2688" w:rsidP="007A65CF">
      <w:pPr>
        <w:pStyle w:val="00Body"/>
        <w:spacing w:line="480" w:lineRule="auto"/>
      </w:pPr>
      <w:r>
        <w:t>Of particular relevance is the fact that all trends fueling low</w:t>
      </w:r>
      <w:r w:rsidR="001764C2">
        <w:t>er</w:t>
      </w:r>
      <w:r>
        <w:t xml:space="preserve"> private consumption and the instability </w:t>
      </w:r>
      <w:r w:rsidR="001764C2">
        <w:t xml:space="preserve">that leads to </w:t>
      </w:r>
      <w:r>
        <w:t>recession</w:t>
      </w:r>
      <w:r w:rsidR="001764C2">
        <w:t>s</w:t>
      </w:r>
      <w:r>
        <w:t xml:space="preserve"> are either unavoidable demographic shifts or intrinsic to capitalism, and therefore we cannot just consider them a temporary </w:t>
      </w:r>
      <w:r>
        <w:rPr>
          <w:rFonts w:hint="eastAsia"/>
        </w:rPr>
        <w:t>“</w:t>
      </w:r>
      <w:r>
        <w:t>shock.</w:t>
      </w:r>
      <w:r>
        <w:rPr>
          <w:rFonts w:hint="eastAsia"/>
        </w:rPr>
        <w:t>”</w:t>
      </w:r>
      <w:r>
        <w:t xml:space="preserve"> The</w:t>
      </w:r>
      <w:r w:rsidR="001764C2">
        <w:t>se</w:t>
      </w:r>
      <w:r>
        <w:t xml:space="preserve"> trends include: </w:t>
      </w:r>
    </w:p>
    <w:p w14:paraId="626329BC" w14:textId="58CE30E8" w:rsidR="008E2688" w:rsidRDefault="008E2688" w:rsidP="007A65CF">
      <w:pPr>
        <w:pStyle w:val="00Body"/>
        <w:spacing w:line="480" w:lineRule="auto"/>
      </w:pPr>
      <w:r>
        <w:lastRenderedPageBreak/>
        <w:t xml:space="preserve">1) Population aging, leading to an increased need for saving for old age, a permanent trend unless we allow our governments to be unprepared for epidemics or allow free markets to make health care unaffordable to most. </w:t>
      </w:r>
    </w:p>
    <w:p w14:paraId="1144F508" w14:textId="2BDAD8A4" w:rsidR="008E2688" w:rsidRDefault="008E2688" w:rsidP="007A65CF">
      <w:pPr>
        <w:pStyle w:val="00Body"/>
        <w:spacing w:line="480" w:lineRule="auto"/>
      </w:pPr>
      <w:r>
        <w:t>2) The shift from a growing to a declining population, also a permanent trend in high-income countr</w:t>
      </w:r>
      <w:r w:rsidR="00547472">
        <w:t>ies</w:t>
      </w:r>
      <w:r>
        <w:t xml:space="preserve"> that will extend globally. Global population is expected to plateau and start declining in the second half of this century. </w:t>
      </w:r>
    </w:p>
    <w:p w14:paraId="1D78DE51" w14:textId="3F24FFCE" w:rsidR="008E2688" w:rsidRDefault="008E2688" w:rsidP="007A65CF">
      <w:pPr>
        <w:pStyle w:val="00Body"/>
        <w:spacing w:line="480" w:lineRule="auto"/>
      </w:pPr>
      <w:r>
        <w:t>3) The dependence of our economy on debt causing its instability is intrinsic to capitalism and the tie between debt</w:t>
      </w:r>
      <w:r w:rsidR="001764C2">
        <w:t xml:space="preserve">, </w:t>
      </w:r>
      <w:r>
        <w:t>credit</w:t>
      </w:r>
      <w:r w:rsidR="001764C2">
        <w:t xml:space="preserve"> and money</w:t>
      </w:r>
      <w:r>
        <w:t xml:space="preserve">. Any other way of creating and allocating money would be outside the market mechanism. </w:t>
      </w:r>
    </w:p>
    <w:p w14:paraId="40F59BEC" w14:textId="692459DE" w:rsidR="008E2688" w:rsidRDefault="008E2688" w:rsidP="007A65CF">
      <w:pPr>
        <w:pStyle w:val="00Body"/>
        <w:spacing w:line="480" w:lineRule="auto"/>
      </w:pPr>
      <w:r>
        <w:t>4) The inequality in wealth and income is also intrinsic to capitalism as Piketty showed</w:t>
      </w:r>
      <w:r>
        <w:rPr>
          <w:rStyle w:val="FootnoteReference"/>
        </w:rPr>
        <w:footnoteReference w:id="25"/>
      </w:r>
      <w:r>
        <w:t xml:space="preserve">, and taxes </w:t>
      </w:r>
      <w:r>
        <w:rPr>
          <w:rFonts w:hint="eastAsia"/>
        </w:rPr>
        <w:t>–</w:t>
      </w:r>
      <w:r>
        <w:t xml:space="preserve"> which capitalism tolerates </w:t>
      </w:r>
      <w:r>
        <w:rPr>
          <w:rFonts w:hint="eastAsia"/>
        </w:rPr>
        <w:t>–</w:t>
      </w:r>
      <w:r>
        <w:t xml:space="preserve"> are insufficient to bring inequality under control. </w:t>
      </w:r>
    </w:p>
    <w:p w14:paraId="296B860D" w14:textId="2E5D097A" w:rsidR="008E2688" w:rsidRDefault="008E2688" w:rsidP="007A65CF">
      <w:pPr>
        <w:pStyle w:val="00Body"/>
        <w:spacing w:line="480" w:lineRule="auto"/>
      </w:pPr>
      <w:r>
        <w:t xml:space="preserve">5) Automation, globalization, weak labor unions, and unequal access to quality education are often considered the root causes of income inequality. And aside </w:t>
      </w:r>
      <w:r w:rsidR="00547472">
        <w:t xml:space="preserve">from </w:t>
      </w:r>
      <w:r>
        <w:t>automation,  the others are intrinsic to capitalism’s ideology of the efficiency of free markets.</w:t>
      </w:r>
    </w:p>
    <w:p w14:paraId="711B1101" w14:textId="75513D91" w:rsidR="008E2688" w:rsidRDefault="008E2688" w:rsidP="007A65CF">
      <w:pPr>
        <w:pStyle w:val="00Body"/>
        <w:spacing w:line="480" w:lineRule="auto"/>
      </w:pPr>
      <w:r>
        <w:t>Many of these trends were not present in the early 1800</w:t>
      </w:r>
      <w:r w:rsidR="00547472">
        <w:t>s</w:t>
      </w:r>
      <w:r>
        <w:t>, nor in 1950</w:t>
      </w:r>
      <w:r w:rsidR="00527019">
        <w:t xml:space="preserve"> but they are now. And if </w:t>
      </w:r>
      <w:r>
        <w:t xml:space="preserve">overall </w:t>
      </w:r>
      <w:r w:rsidR="00527019">
        <w:t xml:space="preserve">consumption </w:t>
      </w:r>
      <w:r>
        <w:t xml:space="preserve">now pulls </w:t>
      </w:r>
      <w:r w:rsidR="00527019">
        <w:t xml:space="preserve">investments and </w:t>
      </w:r>
      <w:r>
        <w:t xml:space="preserve">production in high-income countries, we face a problem: Capitalism does nothing to ensure a distribution of purchasing power that increases overall </w:t>
      </w:r>
      <w:r w:rsidR="00527019">
        <w:t>consumption</w:t>
      </w:r>
      <w:r>
        <w:t xml:space="preserve">, or even maintains it. As Nick </w:t>
      </w:r>
      <w:proofErr w:type="spellStart"/>
      <w:r>
        <w:t>Hanauer</w:t>
      </w:r>
      <w:proofErr w:type="spellEnd"/>
      <w:r>
        <w:t xml:space="preserve">, creator of the campaign for a $15 US minimum wage, put it, </w:t>
      </w:r>
      <w:r>
        <w:rPr>
          <w:rFonts w:hint="eastAsia"/>
        </w:rPr>
        <w:t>“</w:t>
      </w:r>
      <w:r>
        <w:t>In a capitalist system, rising inequality creates a death spiral of falling demand that ultimately takes everyone down.</w:t>
      </w:r>
      <w:r>
        <w:rPr>
          <w:rFonts w:hint="eastAsia"/>
        </w:rPr>
        <w:t>”</w:t>
      </w:r>
      <w:r w:rsidR="00527019">
        <w:rPr>
          <w:rStyle w:val="FootnoteReference"/>
        </w:rPr>
        <w:footnoteReference w:id="26"/>
      </w:r>
    </w:p>
    <w:p w14:paraId="101CBC3A" w14:textId="42414B23" w:rsidR="00527019" w:rsidRDefault="00527019" w:rsidP="007A65CF">
      <w:pPr>
        <w:pStyle w:val="00Body"/>
        <w:spacing w:line="480" w:lineRule="auto"/>
      </w:pPr>
      <w:r>
        <w:t xml:space="preserve">With more automation and artificial intelligence, one can only see these trends accelerate, with less demand for labor, less consumption, defaults on debts and crisis, </w:t>
      </w:r>
      <w:r w:rsidR="00547472">
        <w:t>and</w:t>
      </w:r>
      <w:r>
        <w:t xml:space="preserve"> central banks </w:t>
      </w:r>
      <w:r>
        <w:lastRenderedPageBreak/>
        <w:t xml:space="preserve">having to intervene or governments picking up the tabs and taking debts on their own balance-sheets. </w:t>
      </w:r>
    </w:p>
    <w:p w14:paraId="4D75937B" w14:textId="61094695" w:rsidR="00AC4CEF" w:rsidRDefault="00AC4CEF" w:rsidP="007A65CF">
      <w:pPr>
        <w:pStyle w:val="00Body"/>
        <w:spacing w:line="480" w:lineRule="auto"/>
      </w:pPr>
      <w:r>
        <w:t xml:space="preserve">Could we not then imagine a system where we break the nexus between labor wages and income with a UBI program with increasing transfer amount as automation and productive grow even faster? Could we get central banks to create money and ensure all people can afford a modest level of consumption and thus sustain economic growth independently from their </w:t>
      </w:r>
      <w:r w:rsidR="0045363C">
        <w:t xml:space="preserve">market </w:t>
      </w:r>
      <w:r>
        <w:t>wage</w:t>
      </w:r>
      <w:r w:rsidR="0045363C">
        <w:t>s</w:t>
      </w:r>
      <w:r>
        <w:t xml:space="preserve">? Could we create this evolution of capitalism that gives every human being the right to a life in dignity while reducing debts levels and stabilizing – even increasing growth in the process? </w:t>
      </w:r>
    </w:p>
    <w:p w14:paraId="336F715F" w14:textId="0B5E516E" w:rsidR="00DF5262" w:rsidRPr="00DF5262" w:rsidRDefault="00DF5262" w:rsidP="007A65CF">
      <w:pPr>
        <w:pStyle w:val="h1"/>
        <w:spacing w:line="480" w:lineRule="auto"/>
        <w:rPr>
          <w:b w:val="0"/>
          <w:bCs/>
        </w:rPr>
      </w:pPr>
      <w:proofErr w:type="spellStart"/>
      <w:r w:rsidRPr="00AC4CEF">
        <w:t>Monetism</w:t>
      </w:r>
      <w:proofErr w:type="spellEnd"/>
      <w:r w:rsidRPr="00DF5262">
        <w:rPr>
          <w:b w:val="0"/>
          <w:bCs/>
        </w:rPr>
        <w:t xml:space="preserve"> </w:t>
      </w:r>
    </w:p>
    <w:p w14:paraId="3DF56BFD" w14:textId="74BCA99A" w:rsidR="00885926" w:rsidRDefault="00C446FA" w:rsidP="007A65CF">
      <w:pPr>
        <w:pStyle w:val="00Body"/>
        <w:spacing w:line="480" w:lineRule="auto"/>
      </w:pPr>
      <w:r>
        <w:t xml:space="preserve">The </w:t>
      </w:r>
      <w:r w:rsidR="00AC4CEF" w:rsidRPr="00AC4CEF">
        <w:t xml:space="preserve">forthcoming book </w:t>
      </w:r>
      <w:r w:rsidR="00AC4CEF" w:rsidRPr="00AC4CEF">
        <w:rPr>
          <w:i/>
          <w:iCs/>
        </w:rPr>
        <w:t xml:space="preserve">Outgrowing Capitalism: Rethinking Money to Reshape Society and Pursue Purpose” </w:t>
      </w:r>
      <w:r w:rsidR="00AC4CEF" w:rsidRPr="00AC4CEF">
        <w:t>describe</w:t>
      </w:r>
      <w:r>
        <w:t>s</w:t>
      </w:r>
      <w:r w:rsidR="00AC4CEF">
        <w:t xml:space="preserve"> an alternative, or an evolution</w:t>
      </w:r>
      <w:r w:rsidR="00547472">
        <w:t>,</w:t>
      </w:r>
      <w:r w:rsidR="00AC4CEF">
        <w:t xml:space="preserve"> of capitalism that starts from the premises above. In high-income countries well-being is no longer correlated to average incomes or GDP per capita, due to both the high level of the average but also to the inequal distribution of incomes. The core goal of society today should therefore be closer to well-being</w:t>
      </w:r>
      <w:r w:rsidR="00885926">
        <w:t>: Neither maximizing GDP, nor keeping as many people employed for as long as possible are conducive to that. The freedom of choosing how to spend one</w:t>
      </w:r>
      <w:r w:rsidR="00547472">
        <w:t>’s</w:t>
      </w:r>
      <w:r w:rsidR="00885926">
        <w:t xml:space="preserve"> own time is instead one important determinant of happiness and life satisfaction</w:t>
      </w:r>
      <w:r w:rsidR="00885926">
        <w:rPr>
          <w:rStyle w:val="FootnoteReference"/>
        </w:rPr>
        <w:footnoteReference w:id="27"/>
      </w:r>
      <w:r w:rsidR="00885926">
        <w:t xml:space="preserve">. </w:t>
      </w:r>
      <w:r w:rsidR="00F22898">
        <w:t>Given these consideration</w:t>
      </w:r>
      <w:r w:rsidR="0045363C">
        <w:t>s</w:t>
      </w:r>
      <w:r w:rsidR="00F22898">
        <w:t xml:space="preserve">, a model of society where we maximize the time people are employed and make access to purchasing power tied to wages and employment seems sub-optimal, especially as advanced algorithms and artificial intelligence enable robots to take over more of the work. </w:t>
      </w:r>
      <w:proofErr w:type="spellStart"/>
      <w:r w:rsidR="00F22898">
        <w:t>Monetism</w:t>
      </w:r>
      <w:proofErr w:type="spellEnd"/>
      <w:r w:rsidR="00F22898">
        <w:t xml:space="preserve"> is therefore a future-looking alternative to </w:t>
      </w:r>
      <w:r>
        <w:t xml:space="preserve">capitalism </w:t>
      </w:r>
      <w:r w:rsidR="00F22898">
        <w:t xml:space="preserve">where new money creation funds a UBI program, the cornerstone of the future social contract. </w:t>
      </w:r>
      <w:r w:rsidR="00143159">
        <w:t xml:space="preserve">Banks </w:t>
      </w:r>
      <w:r w:rsidR="00143159">
        <w:lastRenderedPageBreak/>
        <w:t xml:space="preserve">and individuals would be free to lend and borrow, but central banks would </w:t>
      </w:r>
      <w:r w:rsidR="00547472">
        <w:t>create the new money</w:t>
      </w:r>
      <w:r w:rsidR="00143159">
        <w:t xml:space="preserve"> needed to sustain growth year over year, funding a UBI with this new money. Central banks would likely increase interest rates and/or banks’ reserve requirements as a consequence, so that less money is created by banks and less credit ends up inflating the price of assets and of goods and services</w:t>
      </w:r>
      <w:r w:rsidR="00143159">
        <w:rPr>
          <w:rStyle w:val="FootnoteReference"/>
        </w:rPr>
        <w:footnoteReference w:id="28"/>
      </w:r>
      <w:r w:rsidR="00143159">
        <w:t xml:space="preserve">. </w:t>
      </w:r>
      <w:r w:rsidR="00D873F8">
        <w:t xml:space="preserve">Such approach is </w:t>
      </w:r>
      <w:r w:rsidR="00EA6A21">
        <w:t xml:space="preserve">not </w:t>
      </w:r>
      <w:r w:rsidR="00D873F8">
        <w:t xml:space="preserve">dissimilar </w:t>
      </w:r>
      <w:bookmarkStart w:id="0" w:name="_Hlk73996418"/>
      <w:r w:rsidR="00D873F8">
        <w:t>from the proposal of a private debt jubilee funded by central banks such as that of Steve Keen</w:t>
      </w:r>
      <w:bookmarkEnd w:id="0"/>
      <w:r>
        <w:rPr>
          <w:rStyle w:val="FootnoteReference"/>
        </w:rPr>
        <w:footnoteReference w:id="29"/>
      </w:r>
      <w:r w:rsidR="00D873F8">
        <w:t xml:space="preserve">. </w:t>
      </w:r>
      <w:bookmarkStart w:id="2" w:name="_Hlk73996440"/>
      <w:r w:rsidR="00D873F8">
        <w:t xml:space="preserve">The main difference is that Keen suggests a once-off debt jubilee that helps </w:t>
      </w:r>
      <w:r w:rsidR="00EA6A21">
        <w:t xml:space="preserve">recipients and society </w:t>
      </w:r>
      <w:r w:rsidR="00D873F8">
        <w:t xml:space="preserve">but </w:t>
      </w:r>
      <w:r w:rsidR="00EA6A21">
        <w:t>cannot fund a continuous program such as UBI</w:t>
      </w:r>
      <w:bookmarkEnd w:id="2"/>
      <w:r w:rsidR="00D873F8">
        <w:t xml:space="preserve">. A UBI program would have the added benefit of changing the social contract, giving comfort to people of having their basic needs met with all the </w:t>
      </w:r>
      <w:r w:rsidR="00BB00F5">
        <w:t xml:space="preserve">well-being and economic </w:t>
      </w:r>
      <w:r w:rsidR="00D873F8">
        <w:t>benefits that come with it. A systemic funding of UBI with central banks’ money creation can be the first step of an evolution beyond capitalism.</w:t>
      </w:r>
    </w:p>
    <w:p w14:paraId="75C0A869" w14:textId="06FAE8C6" w:rsidR="00322ACD" w:rsidRDefault="00EA6A21" w:rsidP="007A65CF">
      <w:pPr>
        <w:pStyle w:val="h1"/>
        <w:spacing w:line="480" w:lineRule="auto"/>
      </w:pPr>
      <w:r>
        <w:t>Starting Small</w:t>
      </w:r>
      <w:r w:rsidR="004E36B5" w:rsidRPr="00781BA0">
        <w:t xml:space="preserve">: 5% of GDP </w:t>
      </w:r>
      <w:r>
        <w:t>G</w:t>
      </w:r>
      <w:r w:rsidR="004E36B5" w:rsidRPr="00781BA0">
        <w:t xml:space="preserve">iven in UBI </w:t>
      </w:r>
    </w:p>
    <w:p w14:paraId="7F43A9A7" w14:textId="04C364B2" w:rsidR="00EA6A21" w:rsidRDefault="00EA6A21" w:rsidP="007A65CF">
      <w:pPr>
        <w:pStyle w:val="00Body"/>
        <w:spacing w:line="480" w:lineRule="auto"/>
      </w:pPr>
      <w:r>
        <w:t>The money supply has historically equaled about two thirds of GDP</w:t>
      </w:r>
      <w:r>
        <w:rPr>
          <w:rStyle w:val="FootnoteReference"/>
        </w:rPr>
        <w:footnoteReference w:id="30"/>
      </w:r>
      <w:r>
        <w:t xml:space="preserve">, increasing beyond four fifth of GDP after the COVID-19 crisis. Let’s say we target a nominal GDP growth of 6%–8% per year, we could inject </w:t>
      </w:r>
      <w:r w:rsidR="00BB00F5">
        <w:t xml:space="preserve">new central banks’ </w:t>
      </w:r>
      <w:r>
        <w:t>money for at least 5% of GDP</w:t>
      </w:r>
      <w:r w:rsidR="00BB00F5">
        <w:t xml:space="preserve"> per year</w:t>
      </w:r>
      <w:r>
        <w:t xml:space="preserve"> and distribute it in a central bank account that each adult citizen is automatically entitled to. Without changing anything else, central banks will then manage interest rates and reserve requirements to achieve their inflation and employment targets.</w:t>
      </w:r>
    </w:p>
    <w:p w14:paraId="61D071B7" w14:textId="56FABBEE" w:rsidR="00EA6A21" w:rsidRDefault="00EA6A21" w:rsidP="007A65CF">
      <w:pPr>
        <w:pStyle w:val="00Body"/>
        <w:spacing w:line="480" w:lineRule="auto"/>
      </w:pPr>
      <w:r>
        <w:lastRenderedPageBreak/>
        <w:t xml:space="preserve">At a more local level, the same could be done with a voucher system or a local currency managed by the state/city authorities and a state/city bank. The city of </w:t>
      </w:r>
      <w:proofErr w:type="spellStart"/>
      <w:r>
        <w:t>Maric</w:t>
      </w:r>
      <w:proofErr w:type="spellEnd"/>
      <w:r w:rsidR="005421E4" w:rsidRPr="00072719">
        <w:rPr>
          <w:lang w:val="en-GB"/>
        </w:rPr>
        <w:t>à</w:t>
      </w:r>
      <w:r>
        <w:t xml:space="preserve"> in Brazil is an example of this</w:t>
      </w:r>
      <w:r w:rsidR="005421E4">
        <w:rPr>
          <w:rStyle w:val="FootnoteReference"/>
        </w:rPr>
        <w:footnoteReference w:id="31"/>
      </w:r>
      <w:r>
        <w:t>. At the global level the same could be achieved with a global currency issued by the IMF</w:t>
      </w:r>
      <w:r w:rsidR="005421E4">
        <w:t xml:space="preserve"> or with newly issued Special Drawing Rights</w:t>
      </w:r>
      <w:r>
        <w:t xml:space="preserve">. Five percent of GDP worth of new money, global, national or local/voucher currency, would be distributed to each adult. </w:t>
      </w:r>
    </w:p>
    <w:p w14:paraId="14A751AD" w14:textId="6C088D4C" w:rsidR="00EA6A21" w:rsidRDefault="00EA6A21" w:rsidP="007A65CF">
      <w:pPr>
        <w:pStyle w:val="00Body"/>
        <w:spacing w:line="480" w:lineRule="auto"/>
      </w:pPr>
      <w:r>
        <w:t xml:space="preserve">At the US level, 5% of GDP would be 430 USD per adult per month, enough to provide some security but insufficient to fully cover basic needs, yet a significant floor that people can rely on, with the only potential </w:t>
      </w:r>
      <w:r>
        <w:rPr>
          <w:rFonts w:hint="eastAsia"/>
        </w:rPr>
        <w:t>–</w:t>
      </w:r>
      <w:r>
        <w:t xml:space="preserve"> but not certain </w:t>
      </w:r>
      <w:r>
        <w:rPr>
          <w:rFonts w:hint="eastAsia"/>
        </w:rPr>
        <w:t>–</w:t>
      </w:r>
      <w:r>
        <w:t xml:space="preserve"> cost to society being a slightly higher interest rate on bank loans, should inflation concern</w:t>
      </w:r>
      <w:r w:rsidR="0045363C">
        <w:t>s</w:t>
      </w:r>
      <w:r>
        <w:t xml:space="preserve"> lead the Fed to increase interest rates. </w:t>
      </w:r>
      <w:r w:rsidR="00C81937">
        <w:t>In Canada, 5% of GDP would equal to about 310 Canadia</w:t>
      </w:r>
      <w:r w:rsidR="003761AE">
        <w:t>n</w:t>
      </w:r>
      <w:r w:rsidR="00C81937">
        <w:t xml:space="preserve"> dollars per adult </w:t>
      </w:r>
      <w:r w:rsidR="003761AE">
        <w:t xml:space="preserve">per month, and </w:t>
      </w:r>
      <w:r w:rsidR="00C81937">
        <w:t xml:space="preserve">in Mexico 5% of GDP would </w:t>
      </w:r>
      <w:r w:rsidR="003761AE">
        <w:t>equal to about 1170 pesos per adult per month.</w:t>
      </w:r>
    </w:p>
    <w:p w14:paraId="71F5054E" w14:textId="77777777" w:rsidR="00EA6A21" w:rsidRDefault="00EA6A21" w:rsidP="007A65CF">
      <w:pPr>
        <w:pStyle w:val="00Body"/>
        <w:spacing w:line="480" w:lineRule="auto"/>
      </w:pPr>
      <w:r>
        <w:t xml:space="preserve">If this was to be considered at the global level with a global currency created and distributed by the IMF, 5% of GDP in UBI would lead to about 100 international USD a month per adult.  In poor countries that is enough to afford basic needs (UBI pilots typically pay less than 50 USD a month). It might cause some local inflation and higher imports, but it could also result in a lot of local economic activity and security. Given recipients would be getting an international currency (or global currency), the impact on the local currency value from higher imports would be limited. </w:t>
      </w:r>
    </w:p>
    <w:p w14:paraId="72B9496F" w14:textId="29563A56" w:rsidR="005421E4" w:rsidRDefault="005421E4" w:rsidP="005421E4">
      <w:pPr>
        <w:pStyle w:val="h1"/>
        <w:spacing w:line="480" w:lineRule="auto"/>
      </w:pPr>
      <w:r>
        <w:t>Conclusions</w:t>
      </w:r>
    </w:p>
    <w:p w14:paraId="40681FF5" w14:textId="1E05ECCA" w:rsidR="00322ACD" w:rsidRDefault="005421E4" w:rsidP="00072719">
      <w:pPr>
        <w:pStyle w:val="00Body"/>
        <w:spacing w:line="480" w:lineRule="auto"/>
      </w:pPr>
      <w:r>
        <w:t>By Breaking Free of Some Obsolete Constraints of Capitalism We Can Fund a UBI Right Now.</w:t>
      </w:r>
    </w:p>
    <w:p w14:paraId="197C86E4" w14:textId="20624B67" w:rsidR="0035302D" w:rsidRDefault="003761AE" w:rsidP="007A65CF">
      <w:pPr>
        <w:pStyle w:val="00Body"/>
        <w:spacing w:line="480" w:lineRule="auto"/>
      </w:pPr>
      <w:r>
        <w:lastRenderedPageBreak/>
        <w:t xml:space="preserve">Every aspect of </w:t>
      </w:r>
      <w:r w:rsidR="003000BF">
        <w:t xml:space="preserve">today’s </w:t>
      </w:r>
      <w:r>
        <w:t>society and economy is molded on the assumption that free market</w:t>
      </w:r>
      <w:r w:rsidR="0045363C">
        <w:t>s</w:t>
      </w:r>
      <w:r>
        <w:t xml:space="preserve"> might not be perfect but are as close a</w:t>
      </w:r>
      <w:r w:rsidR="003000BF">
        <w:t>s</w:t>
      </w:r>
      <w:r>
        <w:t xml:space="preserve"> </w:t>
      </w:r>
      <w:r w:rsidR="003000BF">
        <w:t>we</w:t>
      </w:r>
      <w:r>
        <w:t xml:space="preserve"> can get. The construct of the monetary system and how new money </w:t>
      </w:r>
      <w:r w:rsidR="003000BF">
        <w:t>i</w:t>
      </w:r>
      <w:r>
        <w:t xml:space="preserve">s created and allocated year after year is of particular importance, given money is the incentive that directs all economic activities: where society invests, what resources are needed, what projects </w:t>
      </w:r>
      <w:r w:rsidR="003000BF">
        <w:t>are</w:t>
      </w:r>
      <w:r w:rsidR="005421E4">
        <w:t xml:space="preserve"> </w:t>
      </w:r>
      <w:r>
        <w:t xml:space="preserve">funded. If </w:t>
      </w:r>
      <w:r w:rsidR="003000BF">
        <w:t>we</w:t>
      </w:r>
      <w:r>
        <w:t xml:space="preserve"> acknowledge that the market failures are becoming increasingly large and the market mechanism increasingly insufficient to tackle 21</w:t>
      </w:r>
      <w:r w:rsidRPr="003761AE">
        <w:rPr>
          <w:vertAlign w:val="superscript"/>
        </w:rPr>
        <w:t>st</w:t>
      </w:r>
      <w:r>
        <w:t xml:space="preserve"> century challenges </w:t>
      </w:r>
      <w:r w:rsidR="003000BF">
        <w:t>quick</w:t>
      </w:r>
      <w:r>
        <w:t xml:space="preserve"> enough, then releasing some of capitalism</w:t>
      </w:r>
      <w:r w:rsidR="003000BF">
        <w:t>’s</w:t>
      </w:r>
      <w:r>
        <w:t xml:space="preserve"> constraints might lead to societal leaps. </w:t>
      </w:r>
      <w:r w:rsidR="0035302D">
        <w:t xml:space="preserve">This paper </w:t>
      </w:r>
      <w:r w:rsidR="005421E4">
        <w:t xml:space="preserve">has shown that </w:t>
      </w:r>
      <w:r w:rsidR="0035302D">
        <w:t>a priority pathway to channel new money to</w:t>
      </w:r>
      <w:r w:rsidR="003000BF">
        <w:t>wards</w:t>
      </w:r>
      <w:r w:rsidR="0035302D">
        <w:t xml:space="preserve"> a UBI program is a more </w:t>
      </w:r>
      <w:r w:rsidR="005421E4">
        <w:t xml:space="preserve">just, and likely more efficient </w:t>
      </w:r>
      <w:r w:rsidR="0035302D">
        <w:t xml:space="preserve">allocation mechanism than </w:t>
      </w:r>
      <w:r w:rsidR="003000BF">
        <w:t xml:space="preserve">allowing </w:t>
      </w:r>
      <w:r w:rsidR="0035302D">
        <w:t xml:space="preserve">borrowers and banks </w:t>
      </w:r>
      <w:r w:rsidR="003000BF">
        <w:t xml:space="preserve">to </w:t>
      </w:r>
      <w:r w:rsidR="0035302D">
        <w:t>freely decid</w:t>
      </w:r>
      <w:r w:rsidR="003000BF">
        <w:t xml:space="preserve">e </w:t>
      </w:r>
      <w:r w:rsidR="0035302D">
        <w:t xml:space="preserve">who </w:t>
      </w:r>
      <w:r w:rsidR="003000BF">
        <w:t xml:space="preserve">receives </w:t>
      </w:r>
      <w:r w:rsidR="0035302D">
        <w:t>more loans. In fact, based on data from UBI pilot</w:t>
      </w:r>
      <w:r w:rsidR="0045363C">
        <w:t>s</w:t>
      </w:r>
      <w:r w:rsidR="0035302D">
        <w:t>, a UBI would lead to significant increases in well-being, while more credit would mostly go to</w:t>
      </w:r>
      <w:r w:rsidR="003000BF">
        <w:t>wards</w:t>
      </w:r>
      <w:r w:rsidR="0035302D">
        <w:t xml:space="preserve"> </w:t>
      </w:r>
      <w:r w:rsidR="003000BF">
        <w:t xml:space="preserve">purchasing </w:t>
      </w:r>
      <w:r w:rsidR="0035302D">
        <w:t xml:space="preserve">existing assets and increase their inflation. </w:t>
      </w:r>
      <w:r w:rsidR="005B0A3D">
        <w:t xml:space="preserve">One  </w:t>
      </w:r>
      <w:r w:rsidR="0035302D">
        <w:t xml:space="preserve">could </w:t>
      </w:r>
      <w:r w:rsidR="005B0A3D">
        <w:t xml:space="preserve">propose </w:t>
      </w:r>
      <w:r w:rsidR="0035302D">
        <w:t>additional or alternative way</w:t>
      </w:r>
      <w:r w:rsidR="005B0A3D">
        <w:t>s</w:t>
      </w:r>
      <w:r w:rsidR="0035302D">
        <w:t xml:space="preserve"> to harness the need to create new money year after year and prioritize solutions to fight climate change. This paper </w:t>
      </w:r>
      <w:r w:rsidR="005B0A3D">
        <w:t xml:space="preserve">hopes to </w:t>
      </w:r>
      <w:r w:rsidR="005421E4">
        <w:t xml:space="preserve">raise </w:t>
      </w:r>
      <w:r w:rsidR="005B0A3D">
        <w:t xml:space="preserve">level of ambition of reformers </w:t>
      </w:r>
      <w:r w:rsidR="0035302D">
        <w:t xml:space="preserve">to start seeing </w:t>
      </w:r>
      <w:r w:rsidR="005B0A3D">
        <w:t xml:space="preserve">capitalism </w:t>
      </w:r>
      <w:r w:rsidR="0035302D">
        <w:t xml:space="preserve">and its rules not as a natural law but </w:t>
      </w:r>
      <w:r w:rsidR="005B0A3D">
        <w:t xml:space="preserve">rather </w:t>
      </w:r>
      <w:r w:rsidR="003000BF">
        <w:t xml:space="preserve">as </w:t>
      </w:r>
      <w:r w:rsidR="0035302D">
        <w:t xml:space="preserve">a set </w:t>
      </w:r>
      <w:r w:rsidR="003000BF">
        <w:t>o</w:t>
      </w:r>
      <w:r w:rsidR="0035302D">
        <w:t xml:space="preserve">f norms that can be adapted as societies evolve. </w:t>
      </w:r>
    </w:p>
    <w:p w14:paraId="7EA9E1DF" w14:textId="7332DDED" w:rsidR="0035302D" w:rsidRDefault="0035302D" w:rsidP="007A65CF">
      <w:pPr>
        <w:pStyle w:val="00Body"/>
        <w:spacing w:line="480" w:lineRule="auto"/>
      </w:pPr>
      <w:r>
        <w:t xml:space="preserve">For a complete explanation of </w:t>
      </w:r>
      <w:proofErr w:type="spellStart"/>
      <w:r>
        <w:t>monetism</w:t>
      </w:r>
      <w:proofErr w:type="spellEnd"/>
      <w:r>
        <w:t xml:space="preserve">, one possible evolution of capitalism, </w:t>
      </w:r>
      <w:r w:rsidRPr="0035302D">
        <w:rPr>
          <w:i/>
          <w:iCs/>
        </w:rPr>
        <w:t>Outgrowing Capitalism</w:t>
      </w:r>
      <w:r>
        <w:rPr>
          <w:i/>
          <w:iCs/>
        </w:rPr>
        <w:t xml:space="preserve"> </w:t>
      </w:r>
      <w:r w:rsidRPr="0035302D">
        <w:t>will be</w:t>
      </w:r>
      <w:r>
        <w:t xml:space="preserve"> available in the United States on October 26</w:t>
      </w:r>
      <w:r w:rsidRPr="0035302D">
        <w:rPr>
          <w:vertAlign w:val="superscript"/>
        </w:rPr>
        <w:t>th</w:t>
      </w:r>
      <w:r>
        <w:t>.</w:t>
      </w:r>
    </w:p>
    <w:p w14:paraId="16E7C455" w14:textId="672E84CF" w:rsidR="0035302D" w:rsidRPr="00BE28F6" w:rsidRDefault="0035302D" w:rsidP="007A65CF">
      <w:pPr>
        <w:pStyle w:val="00Body"/>
        <w:spacing w:line="480" w:lineRule="auto"/>
      </w:pPr>
      <w:r>
        <w:rPr>
          <w:i/>
          <w:iCs/>
        </w:rPr>
        <w:t xml:space="preserve"> </w:t>
      </w:r>
    </w:p>
    <w:sectPr w:rsidR="0035302D" w:rsidRPr="00BE28F6" w:rsidSect="00BE28F6">
      <w:headerReference w:type="even" r:id="rId8"/>
      <w:headerReference w:type="default" r:id="rId9"/>
      <w:footerReference w:type="even" r:id="rId10"/>
      <w:footerReference w:type="default" r:id="rId11"/>
      <w:headerReference w:type="first" r:id="rId12"/>
      <w:footerReference w:type="first" r:id="rId13"/>
      <w:pgSz w:w="11907" w:h="16839"/>
      <w:pgMar w:top="1417" w:right="1417" w:bottom="1417" w:left="1417" w:header="720"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4AD8C" w14:textId="77777777" w:rsidR="00031D55" w:rsidRDefault="00031D55" w:rsidP="00BE28F6">
      <w:pPr>
        <w:spacing w:after="0" w:line="240" w:lineRule="auto"/>
      </w:pPr>
      <w:r>
        <w:separator/>
      </w:r>
    </w:p>
  </w:endnote>
  <w:endnote w:type="continuationSeparator" w:id="0">
    <w:p w14:paraId="04DFA1F9" w14:textId="77777777" w:rsidR="00031D55" w:rsidRDefault="00031D55" w:rsidP="00BE2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heinhardt Light">
    <w:altName w:val="Calibri"/>
    <w:panose1 w:val="020B0604020202020204"/>
    <w:charset w:val="00"/>
    <w:family w:val="swiss"/>
    <w:pitch w:val="variable"/>
    <w:sig w:usb0="A00000AF" w:usb1="5000206A"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ACFF" w:usb2="00000009" w:usb3="00000000" w:csb0="000001FF" w:csb1="00000000"/>
    <w:embedRegular r:id="rId1" w:fontKey="{F202B73F-45A5-9540-A567-EC89D7772127}"/>
    <w:embedBold r:id="rId2" w:fontKey="{3F7223D7-8FAC-074A-BC89-0CCA073069B1}"/>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dy)">
    <w:altName w:val="Arial"/>
    <w:panose1 w:val="020B0604020202020204"/>
    <w:charset w:val="00"/>
    <w:family w:val="roman"/>
    <w:pitch w:val="default"/>
  </w:font>
  <w:font w:name="Georgia">
    <w:altName w:val="Georgia"/>
    <w:panose1 w:val="02040502050405020303"/>
    <w:charset w:val="00"/>
    <w:family w:val="roman"/>
    <w:pitch w:val="variable"/>
    <w:sig w:usb0="00000287" w:usb1="00000000" w:usb2="00000000" w:usb3="00000000" w:csb0="0000009F" w:csb1="00000000"/>
  </w:font>
  <w:font w:name="Theinhardt Pan Light">
    <w:altName w:val="Calibri"/>
    <w:panose1 w:val="020B0604020202020204"/>
    <w:charset w:val="00"/>
    <w:family w:val="swiss"/>
    <w:pitch w:val="variable"/>
    <w:sig w:usb0="A00002FF" w:usb1="4000207B" w:usb2="00000008" w:usb3="00000000" w:csb0="0000009F" w:csb1="00000000"/>
  </w:font>
  <w:font w:name="Theinhardt Medium">
    <w:altName w:val="Calibri"/>
    <w:panose1 w:val="020B0604020202020204"/>
    <w:charset w:val="00"/>
    <w:family w:val="swiss"/>
    <w:pitch w:val="variable"/>
    <w:sig w:usb0="A00000EF" w:usb1="4000206B" w:usb2="00000008" w:usb3="00000000" w:csb0="00000093" w:csb1="00000000"/>
  </w:font>
  <w:font w:name="Theinhardt Pan">
    <w:altName w:val="Calibri"/>
    <w:panose1 w:val="020B0604020202020204"/>
    <w:charset w:val="00"/>
    <w:family w:val="swiss"/>
    <w:pitch w:val="variable"/>
    <w:sig w:usb0="A00002FF" w:usb1="4000207B" w:usb2="00000008"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C70C5" w14:textId="77777777" w:rsidR="008776E3" w:rsidRDefault="008776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FF452" w14:textId="77777777" w:rsidR="008776E3" w:rsidRDefault="008776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952FF" w14:textId="77777777" w:rsidR="008776E3" w:rsidRDefault="008776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2DBB4" w14:textId="77777777" w:rsidR="00031D55" w:rsidRDefault="00031D55" w:rsidP="00BE28F6">
      <w:pPr>
        <w:spacing w:after="0" w:line="240" w:lineRule="auto"/>
      </w:pPr>
      <w:r>
        <w:separator/>
      </w:r>
    </w:p>
  </w:footnote>
  <w:footnote w:type="continuationSeparator" w:id="0">
    <w:p w14:paraId="2FB76BA5" w14:textId="77777777" w:rsidR="00031D55" w:rsidRDefault="00031D55" w:rsidP="00BE28F6">
      <w:pPr>
        <w:spacing w:after="0" w:line="240" w:lineRule="auto"/>
      </w:pPr>
      <w:r>
        <w:continuationSeparator/>
      </w:r>
    </w:p>
  </w:footnote>
  <w:footnote w:id="1">
    <w:p w14:paraId="1FDE10D7" w14:textId="2B7CC8A5" w:rsidR="008776E3" w:rsidRDefault="008776E3">
      <w:pPr>
        <w:pStyle w:val="FootnoteText"/>
      </w:pPr>
      <w:r>
        <w:rPr>
          <w:rStyle w:val="FootnoteReference"/>
        </w:rPr>
        <w:footnoteRef/>
      </w:r>
      <w:r>
        <w:t xml:space="preserve"> </w:t>
      </w:r>
      <w:r w:rsidRPr="00CA43C3">
        <w:t>https://data.oecd.org/emp/hours-worked.htm</w:t>
      </w:r>
    </w:p>
  </w:footnote>
  <w:footnote w:id="2">
    <w:p w14:paraId="0752C432" w14:textId="3EE0008A" w:rsidR="008776E3" w:rsidRDefault="008776E3">
      <w:pPr>
        <w:pStyle w:val="FootnoteText"/>
      </w:pPr>
      <w:r>
        <w:rPr>
          <w:rStyle w:val="FootnoteReference"/>
        </w:rPr>
        <w:footnoteRef/>
      </w:r>
      <w:r>
        <w:t xml:space="preserve"> </w:t>
      </w:r>
      <w:r w:rsidRPr="00CA43C3">
        <w:t>https://www.oecd.org/els/emp/average-effective-age-of-retirement.htm</w:t>
      </w:r>
    </w:p>
  </w:footnote>
  <w:footnote w:id="3">
    <w:p w14:paraId="4A62AAAF" w14:textId="33D2106F" w:rsidR="008776E3" w:rsidRDefault="008776E3">
      <w:pPr>
        <w:pStyle w:val="FootnoteText"/>
      </w:pPr>
      <w:r>
        <w:rPr>
          <w:rStyle w:val="FootnoteReference"/>
        </w:rPr>
        <w:footnoteRef/>
      </w:r>
      <w:r>
        <w:t xml:space="preserve"> </w:t>
      </w:r>
      <w:r w:rsidRPr="00C631B1">
        <w:t>Cameron</w:t>
      </w:r>
      <w:r w:rsidRPr="00DC3A74">
        <w:t xml:space="preserve"> Huddleston</w:t>
      </w:r>
      <w:r w:rsidRPr="002808C9">
        <w:t>,</w:t>
      </w:r>
      <w:r>
        <w:t xml:space="preserve"> </w:t>
      </w:r>
      <w:r w:rsidRPr="002808C9">
        <w:t>“More Than Half of Americans Have Less Than $1,000 in</w:t>
      </w:r>
      <w:r>
        <w:t>.</w:t>
      </w:r>
      <w:r w:rsidRPr="002808C9">
        <w:t xml:space="preserve"> Savings in 2017,”</w:t>
      </w:r>
      <w:r>
        <w:t xml:space="preserve"> </w:t>
      </w:r>
      <w:proofErr w:type="spellStart"/>
      <w:r w:rsidRPr="002808C9">
        <w:t>GoBankingRates</w:t>
      </w:r>
      <w:proofErr w:type="spellEnd"/>
      <w:r w:rsidRPr="002808C9">
        <w:t>, September 12, 2017</w:t>
      </w:r>
      <w:r>
        <w:t xml:space="preserve">. </w:t>
      </w:r>
      <w:hyperlink r:id="rId1" w:history="1">
        <w:r w:rsidRPr="00B0670C">
          <w:rPr>
            <w:rStyle w:val="Hyperlink"/>
          </w:rPr>
          <w:t>https://www.gobankingrates.com/saving-money/savings-advice/half-americans-less-savings-2017/</w:t>
        </w:r>
      </w:hyperlink>
      <w:r>
        <w:t xml:space="preserve">. </w:t>
      </w:r>
    </w:p>
  </w:footnote>
  <w:footnote w:id="4">
    <w:p w14:paraId="5CA1F25E" w14:textId="0FCF8299" w:rsidR="008776E3" w:rsidRPr="00CA43C3" w:rsidRDefault="008776E3" w:rsidP="00CA43C3">
      <w:pPr>
        <w:pStyle w:val="FootnoteText"/>
        <w:rPr>
          <w:rFonts w:ascii="Theinhardt Pan Light" w:hAnsi="Theinhardt Pan Light"/>
          <w:vertAlign w:val="superscript"/>
        </w:rPr>
      </w:pPr>
      <w:r>
        <w:rPr>
          <w:rStyle w:val="FootnoteReference"/>
        </w:rPr>
        <w:footnoteRef/>
      </w:r>
      <w:r>
        <w:t xml:space="preserve"> </w:t>
      </w:r>
      <w:r w:rsidRPr="00A943AC">
        <w:t>Vincent S. Flowers and Charles L. Hughes</w:t>
      </w:r>
      <w:r>
        <w:t>, “</w:t>
      </w:r>
      <w:r w:rsidRPr="00A943AC">
        <w:t>Why Employees Stay</w:t>
      </w:r>
      <w:r w:rsidRPr="00A943AC" w:rsidDel="001F6794">
        <w:t>.</w:t>
      </w:r>
      <w:r>
        <w:t>,”</w:t>
      </w:r>
      <w:r w:rsidRPr="00A943AC" w:rsidDel="001F6794">
        <w:t xml:space="preserve"> Vincent S. Flowers and Charles L. Hughes.</w:t>
      </w:r>
      <w:r w:rsidRPr="00A943AC">
        <w:t xml:space="preserve"> </w:t>
      </w:r>
      <w:r w:rsidRPr="0037469A">
        <w:rPr>
          <w:rStyle w:val="ital"/>
        </w:rPr>
        <w:t>Harvard Business Review</w:t>
      </w:r>
      <w:r>
        <w:t>,</w:t>
      </w:r>
      <w:r w:rsidRPr="00A943AC">
        <w:t xml:space="preserve"> </w:t>
      </w:r>
      <w:r>
        <w:t>July</w:t>
      </w:r>
      <w:r w:rsidRPr="00A943AC">
        <w:t xml:space="preserve"> 1973. </w:t>
      </w:r>
      <w:r w:rsidRPr="00A943AC" w:rsidDel="001F6794">
        <w:t>Harvard business review</w:t>
      </w:r>
      <w:r>
        <w:t>. “J</w:t>
      </w:r>
      <w:r w:rsidRPr="008426CA">
        <w:t xml:space="preserve">ob Mobility in the European Union: </w:t>
      </w:r>
      <w:proofErr w:type="spellStart"/>
      <w:r w:rsidRPr="008426CA">
        <w:t>Optimising</w:t>
      </w:r>
      <w:proofErr w:type="spellEnd"/>
      <w:r w:rsidRPr="008426CA">
        <w:t xml:space="preserve"> its Social and Economic Benefits</w:t>
      </w:r>
      <w:r>
        <w:t>,”</w:t>
      </w:r>
      <w:r w:rsidRPr="008426CA">
        <w:t xml:space="preserve"> Danish Technological Institute</w:t>
      </w:r>
      <w:r>
        <w:t>,</w:t>
      </w:r>
      <w:r w:rsidRPr="008426CA">
        <w:t xml:space="preserve"> </w:t>
      </w:r>
      <w:r>
        <w:t>f</w:t>
      </w:r>
      <w:r w:rsidRPr="008426CA">
        <w:t>inal report</w:t>
      </w:r>
      <w:r>
        <w:t>,</w:t>
      </w:r>
      <w:r w:rsidRPr="008426CA">
        <w:t xml:space="preserve"> 2008</w:t>
      </w:r>
      <w:r>
        <w:t>.</w:t>
      </w:r>
    </w:p>
  </w:footnote>
  <w:footnote w:id="5">
    <w:p w14:paraId="017B281B" w14:textId="22F07B2F" w:rsidR="008776E3" w:rsidRDefault="008776E3">
      <w:pPr>
        <w:pStyle w:val="FootnoteText"/>
      </w:pPr>
      <w:r>
        <w:rPr>
          <w:rStyle w:val="FootnoteReference"/>
        </w:rPr>
        <w:footnoteRef/>
      </w:r>
      <w:r>
        <w:t xml:space="preserve"> Andrew Francis-Tan and</w:t>
      </w:r>
      <w:r w:rsidRPr="006411FD">
        <w:t xml:space="preserve"> Hugo M. </w:t>
      </w:r>
      <w:proofErr w:type="spellStart"/>
      <w:r w:rsidRPr="006411FD">
        <w:t>Mialon</w:t>
      </w:r>
      <w:proofErr w:type="spellEnd"/>
      <w:r>
        <w:t>,</w:t>
      </w:r>
      <w:r w:rsidRPr="006411FD">
        <w:t xml:space="preserve"> </w:t>
      </w:r>
      <w:r>
        <w:t>“‘A Diamond Is Forever’</w:t>
      </w:r>
      <w:r w:rsidRPr="006411FD">
        <w:t xml:space="preserve"> and </w:t>
      </w:r>
      <w:r>
        <w:t>O</w:t>
      </w:r>
      <w:r w:rsidRPr="006411FD">
        <w:t xml:space="preserve">ther </w:t>
      </w:r>
      <w:r>
        <w:t>F</w:t>
      </w:r>
      <w:r w:rsidRPr="006411FD">
        <w:t xml:space="preserve">airy </w:t>
      </w:r>
      <w:r>
        <w:t>T</w:t>
      </w:r>
      <w:r w:rsidRPr="006411FD">
        <w:t xml:space="preserve">ales: </w:t>
      </w:r>
      <w:r>
        <w:t>T</w:t>
      </w:r>
      <w:r w:rsidRPr="006411FD">
        <w:t xml:space="preserve">he </w:t>
      </w:r>
      <w:r>
        <w:t>R</w:t>
      </w:r>
      <w:r w:rsidRPr="006411FD">
        <w:t xml:space="preserve">elationship </w:t>
      </w:r>
      <w:r>
        <w:t>B</w:t>
      </w:r>
      <w:r w:rsidRPr="006411FD">
        <w:t xml:space="preserve">etween </w:t>
      </w:r>
      <w:r>
        <w:t>W</w:t>
      </w:r>
      <w:r w:rsidRPr="006411FD">
        <w:t xml:space="preserve">edding </w:t>
      </w:r>
      <w:r>
        <w:t xml:space="preserve">Expenses and Marriage Duration,” </w:t>
      </w:r>
      <w:r w:rsidRPr="006411FD">
        <w:t>2015</w:t>
      </w:r>
      <w:r>
        <w:t>. Jeffrey Dew, “</w:t>
      </w:r>
      <w:r w:rsidRPr="00AF4CE4">
        <w:t>Bank On It: T</w:t>
      </w:r>
      <w:r>
        <w:t>hrifty Couples are the Happiest,”</w:t>
      </w:r>
      <w:r w:rsidRPr="00AF4CE4">
        <w:t xml:space="preserve"> The State of Our Union</w:t>
      </w:r>
      <w:r>
        <w:t xml:space="preserve">s, </w:t>
      </w:r>
      <w:r w:rsidRPr="00AF4CE4">
        <w:t>2009.</w:t>
      </w:r>
      <w:r w:rsidRPr="000376FE">
        <w:t xml:space="preserve"> </w:t>
      </w:r>
      <w:r w:rsidRPr="00110298">
        <w:t xml:space="preserve">Lauren M. Papp, E. Mark Cummings, and Marcie C. </w:t>
      </w:r>
      <w:proofErr w:type="spellStart"/>
      <w:r w:rsidRPr="00110298">
        <w:t>Goeke</w:t>
      </w:r>
      <w:proofErr w:type="spellEnd"/>
      <w:r w:rsidRPr="00110298">
        <w:t>-Morey</w:t>
      </w:r>
      <w:r>
        <w:t>, “</w:t>
      </w:r>
      <w:r w:rsidRPr="00110298">
        <w:t>For Richer, for Poorer: Money as a Topic o</w:t>
      </w:r>
      <w:r>
        <w:t xml:space="preserve">f Marital Conflict in the Home.” </w:t>
      </w:r>
      <w:r w:rsidRPr="00CB0802">
        <w:t>Brittany Wong</w:t>
      </w:r>
      <w:r>
        <w:t>, “</w:t>
      </w:r>
      <w:r w:rsidRPr="00CB0802">
        <w:t>The Top 10 Reasons People Stay In Unhappy Marriages</w:t>
      </w:r>
      <w:r>
        <w:t>,” Huffington P</w:t>
      </w:r>
      <w:r w:rsidRPr="00CB0802">
        <w:t>ost</w:t>
      </w:r>
      <w:r>
        <w:t>, updated December 6, 2017.</w:t>
      </w:r>
    </w:p>
  </w:footnote>
  <w:footnote w:id="6">
    <w:p w14:paraId="4FD9579F" w14:textId="3C038A3B" w:rsidR="008776E3" w:rsidRDefault="008776E3">
      <w:pPr>
        <w:pStyle w:val="FootnoteText"/>
      </w:pPr>
      <w:r>
        <w:rPr>
          <w:rStyle w:val="FootnoteReference"/>
        </w:rPr>
        <w:footnoteRef/>
      </w:r>
      <w:r>
        <w:t xml:space="preserve"> </w:t>
      </w:r>
      <w:proofErr w:type="spellStart"/>
      <w:r w:rsidRPr="00A52B69">
        <w:t>Bronnie</w:t>
      </w:r>
      <w:proofErr w:type="spellEnd"/>
      <w:r w:rsidRPr="00A52B69">
        <w:t xml:space="preserve"> Ware,</w:t>
      </w:r>
      <w:r w:rsidRPr="0037469A">
        <w:rPr>
          <w:rStyle w:val="ital"/>
        </w:rPr>
        <w:t xml:space="preserve"> The Top Five Regrets of the Dying: A Life Transformed by the Dearly Departing</w:t>
      </w:r>
      <w:r w:rsidRPr="00A52B69">
        <w:t>, May 2012.</w:t>
      </w:r>
    </w:p>
  </w:footnote>
  <w:footnote w:id="7">
    <w:p w14:paraId="30E48D42" w14:textId="044A8F9D" w:rsidR="008776E3" w:rsidRDefault="008776E3">
      <w:pPr>
        <w:pStyle w:val="FootnoteText"/>
      </w:pPr>
      <w:r>
        <w:rPr>
          <w:rStyle w:val="FootnoteReference"/>
        </w:rPr>
        <w:footnoteRef/>
      </w:r>
      <w:r>
        <w:t xml:space="preserve"> </w:t>
      </w:r>
      <w:r w:rsidRPr="00AB0DCE">
        <w:t xml:space="preserve">Ed Diener, Daniel </w:t>
      </w:r>
      <w:proofErr w:type="spellStart"/>
      <w:r w:rsidRPr="00AB0DCE">
        <w:t>Khaneman</w:t>
      </w:r>
      <w:proofErr w:type="spellEnd"/>
      <w:r>
        <w:t>, William Tov, and Raksha Arora,</w:t>
      </w:r>
      <w:r w:rsidRPr="00AB0DCE">
        <w:t xml:space="preserve"> </w:t>
      </w:r>
      <w:r>
        <w:t>“</w:t>
      </w:r>
      <w:r w:rsidRPr="00AB0DCE">
        <w:t>Income’s Association with Jud</w:t>
      </w:r>
      <w:r>
        <w:t>gments of Life Versus Feelings,”</w:t>
      </w:r>
      <w:r w:rsidRPr="00AB0DCE">
        <w:t xml:space="preserve"> </w:t>
      </w:r>
      <w:r>
        <w:t>c</w:t>
      </w:r>
      <w:r w:rsidRPr="00AB0DCE">
        <w:t>hapter 1</w:t>
      </w:r>
      <w:r>
        <w:t>,</w:t>
      </w:r>
      <w:r w:rsidRPr="00AB0DCE">
        <w:t xml:space="preserve"> </w:t>
      </w:r>
      <w:r w:rsidRPr="0037469A">
        <w:rPr>
          <w:rStyle w:val="ital"/>
        </w:rPr>
        <w:t>International Differences in Well-Being</w:t>
      </w:r>
      <w:r>
        <w:t>,</w:t>
      </w:r>
      <w:r w:rsidRPr="00AB0DCE">
        <w:t xml:space="preserve"> 2010</w:t>
      </w:r>
      <w:r>
        <w:t xml:space="preserve">. </w:t>
      </w:r>
      <w:r w:rsidRPr="008618F7">
        <w:t>D</w:t>
      </w:r>
      <w:r>
        <w:t>aniel Kahneman and Angus Deaton, “High Income Improves Evaluation of Life But Not Emotional Well-Being,”</w:t>
      </w:r>
      <w:r w:rsidRPr="008618F7">
        <w:t xml:space="preserve"> </w:t>
      </w:r>
      <w:r>
        <w:t>Center for Health and Well-B</w:t>
      </w:r>
      <w:r w:rsidRPr="008618F7">
        <w:t>eing, Princeton University</w:t>
      </w:r>
      <w:r>
        <w:t>,</w:t>
      </w:r>
      <w:r w:rsidRPr="00CB0802">
        <w:t xml:space="preserve"> </w:t>
      </w:r>
      <w:r w:rsidRPr="008618F7">
        <w:t>2010.</w:t>
      </w:r>
    </w:p>
  </w:footnote>
  <w:footnote w:id="8">
    <w:p w14:paraId="7C74936A" w14:textId="40F918BA" w:rsidR="008776E3" w:rsidRDefault="008776E3">
      <w:pPr>
        <w:pStyle w:val="FootnoteText"/>
      </w:pPr>
      <w:r>
        <w:rPr>
          <w:rStyle w:val="FootnoteReference"/>
        </w:rPr>
        <w:footnoteRef/>
      </w:r>
      <w:r>
        <w:t xml:space="preserve"> </w:t>
      </w:r>
      <w:r w:rsidRPr="00412B97">
        <w:t>Richard Wilkinson and Kate Pickett</w:t>
      </w:r>
      <w:r>
        <w:t>,</w:t>
      </w:r>
      <w:r w:rsidRPr="00412B97">
        <w:t xml:space="preserve"> </w:t>
      </w:r>
      <w:r w:rsidRPr="0037469A">
        <w:rPr>
          <w:rStyle w:val="ital"/>
        </w:rPr>
        <w:t>The Spirit Level: Why Equality Is Better for Everyone</w:t>
      </w:r>
      <w:r>
        <w:t>,</w:t>
      </w:r>
      <w:r w:rsidRPr="00412B97">
        <w:t xml:space="preserve"> 2009</w:t>
      </w:r>
    </w:p>
  </w:footnote>
  <w:footnote w:id="9">
    <w:p w14:paraId="3C0A0F39" w14:textId="0A93BBE9" w:rsidR="008776E3" w:rsidRDefault="008776E3">
      <w:pPr>
        <w:pStyle w:val="FootnoteText"/>
      </w:pPr>
      <w:r>
        <w:rPr>
          <w:rStyle w:val="FootnoteReference"/>
        </w:rPr>
        <w:footnoteRef/>
      </w:r>
      <w:r>
        <w:t xml:space="preserve"> </w:t>
      </w:r>
      <w:r w:rsidRPr="002842C3">
        <w:t>https://abbott.mediaroom.com/2016-04-26-Whats-the-Secret-to-Living-a-Full-Life-A-New-Global-Survey-Reveals-Family-Comes-First</w:t>
      </w:r>
    </w:p>
  </w:footnote>
  <w:footnote w:id="10">
    <w:p w14:paraId="0D1EBC8D" w14:textId="6CDFFFE9" w:rsidR="008F5643" w:rsidRDefault="008F5643">
      <w:pPr>
        <w:pStyle w:val="FootnoteText"/>
      </w:pPr>
      <w:r>
        <w:rPr>
          <w:rStyle w:val="FootnoteReference"/>
        </w:rPr>
        <w:footnoteRef/>
      </w:r>
      <w:r>
        <w:t xml:space="preserve"> OECD, </w:t>
      </w:r>
      <w:r w:rsidRPr="0037469A">
        <w:rPr>
          <w:rStyle w:val="ital"/>
        </w:rPr>
        <w:t>In It Together: Why Less Inequality Benefits All,</w:t>
      </w:r>
      <w:r>
        <w:t xml:space="preserve"> OECD Publishing, Paris, 2015. </w:t>
      </w:r>
      <w:r w:rsidRPr="008606A3">
        <w:t>http://dx.doi.org/10.1787/9789264235120-en</w:t>
      </w:r>
      <w:r>
        <w:t>.</w:t>
      </w:r>
    </w:p>
  </w:footnote>
  <w:footnote w:id="11">
    <w:p w14:paraId="295DA8B2" w14:textId="3B3D4471" w:rsidR="008776E3" w:rsidRDefault="008776E3">
      <w:pPr>
        <w:pStyle w:val="FootnoteText"/>
      </w:pPr>
      <w:r>
        <w:rPr>
          <w:rStyle w:val="FootnoteReference"/>
        </w:rPr>
        <w:footnoteRef/>
      </w:r>
      <w:r>
        <w:t xml:space="preserve"> </w:t>
      </w:r>
      <w:r w:rsidRPr="00C30E16">
        <w:t>https://www.mckinsey.com/industries/public-and-social-sector/our-insights/inequality-a-persisting-challenge-and-its-implications</w:t>
      </w:r>
      <w:r>
        <w:t>.</w:t>
      </w:r>
    </w:p>
  </w:footnote>
  <w:footnote w:id="12">
    <w:p w14:paraId="7DE9C2FA" w14:textId="73200A91" w:rsidR="008F5643" w:rsidRDefault="008F5643">
      <w:pPr>
        <w:pStyle w:val="FootnoteText"/>
      </w:pPr>
      <w:r>
        <w:rPr>
          <w:rStyle w:val="FootnoteReference"/>
        </w:rPr>
        <w:footnoteRef/>
      </w:r>
      <w:r>
        <w:t xml:space="preserve"> </w:t>
      </w:r>
      <w:r w:rsidRPr="00F94AF9">
        <w:t>https://www.ft.com/content/3d907582-b893-11e7-9bfb-4a9c83ffa852</w:t>
      </w:r>
      <w:r>
        <w:t xml:space="preserve"> and </w:t>
      </w:r>
      <w:r w:rsidRPr="001708A4">
        <w:t>https://nomoretax.eu/france-wants-back-rich-people/</w:t>
      </w:r>
      <w:r>
        <w:t>.</w:t>
      </w:r>
    </w:p>
  </w:footnote>
  <w:footnote w:id="13">
    <w:p w14:paraId="7516DC90" w14:textId="37F8FE54" w:rsidR="008F5643" w:rsidRDefault="008F5643">
      <w:pPr>
        <w:pStyle w:val="FootnoteText"/>
      </w:pPr>
      <w:r>
        <w:rPr>
          <w:rStyle w:val="FootnoteReference"/>
        </w:rPr>
        <w:footnoteRef/>
      </w:r>
      <w:r>
        <w:t xml:space="preserve"> </w:t>
      </w:r>
      <w:r w:rsidRPr="008F3D3D">
        <w:t xml:space="preserve">Thomas Piketty, </w:t>
      </w:r>
      <w:r w:rsidRPr="0037469A">
        <w:rPr>
          <w:rStyle w:val="ital"/>
        </w:rPr>
        <w:t>Capital in the Twenty-First Century,</w:t>
      </w:r>
      <w:r w:rsidRPr="008F3D3D">
        <w:t xml:space="preserve"> April 2014</w:t>
      </w:r>
    </w:p>
  </w:footnote>
  <w:footnote w:id="14">
    <w:p w14:paraId="2FFC881D" w14:textId="4B408533" w:rsidR="008776E3" w:rsidRDefault="008776E3">
      <w:pPr>
        <w:pStyle w:val="FootnoteText"/>
      </w:pPr>
      <w:r>
        <w:rPr>
          <w:rStyle w:val="FootnoteReference"/>
        </w:rPr>
        <w:footnoteRef/>
      </w:r>
      <w:r>
        <w:t xml:space="preserve"> </w:t>
      </w:r>
      <w:r w:rsidRPr="00B83276">
        <w:t>http://www.perrymehrling.com/wp-content/uploads/2016/01/Allyn-Young-1x74bxg.pdf</w:t>
      </w:r>
      <w:r>
        <w:t>.</w:t>
      </w:r>
    </w:p>
  </w:footnote>
  <w:footnote w:id="15">
    <w:p w14:paraId="2F7F0620" w14:textId="453AC0E6" w:rsidR="00800180" w:rsidRPr="00072719" w:rsidRDefault="00800180" w:rsidP="00072719">
      <w:pPr>
        <w:pStyle w:val="CommentText"/>
        <w:rPr>
          <w:sz w:val="16"/>
          <w:szCs w:val="16"/>
        </w:rPr>
      </w:pPr>
      <w:r>
        <w:rPr>
          <w:rStyle w:val="FootnoteReference"/>
        </w:rPr>
        <w:footnoteRef/>
      </w:r>
      <w:r>
        <w:t xml:space="preserve"> </w:t>
      </w:r>
      <w:r w:rsidRPr="004E275D">
        <w:t xml:space="preserve">“A Conversation with Lord Adair Turner,” Private Debt Project. </w:t>
      </w:r>
      <w:r w:rsidRPr="00D115B0">
        <w:t>http://privatedebtproject.org/view-articles.php?An-Interview-With-Lord-Adair-Turner-6</w:t>
      </w:r>
      <w:r>
        <w:t>.</w:t>
      </w:r>
    </w:p>
  </w:footnote>
  <w:footnote w:id="16">
    <w:p w14:paraId="58CF41B3" w14:textId="77777777" w:rsidR="00800180" w:rsidRDefault="00800180">
      <w:pPr>
        <w:pStyle w:val="FootnoteText"/>
      </w:pPr>
      <w:r>
        <w:rPr>
          <w:rStyle w:val="FootnoteReference"/>
        </w:rPr>
        <w:footnoteRef/>
      </w:r>
      <w:r>
        <w:t xml:space="preserve"> Assuming 3 percentage points come from rent-income that should be deducted, but an average inflation of 3% over the same period of study to be added back to get the nominal price growth of housing</w:t>
      </w:r>
    </w:p>
  </w:footnote>
  <w:footnote w:id="17">
    <w:p w14:paraId="1E99BF05" w14:textId="715733BA" w:rsidR="00800180" w:rsidRDefault="00800180">
      <w:pPr>
        <w:pStyle w:val="FootnoteText"/>
      </w:pPr>
      <w:r>
        <w:rPr>
          <w:rStyle w:val="FootnoteReference"/>
        </w:rPr>
        <w:footnoteRef/>
      </w:r>
      <w:r>
        <w:t xml:space="preserve"> </w:t>
      </w:r>
      <w:r w:rsidRPr="00863AAC">
        <w:t>Global Debt Monitor</w:t>
      </w:r>
      <w:r>
        <w:t>,</w:t>
      </w:r>
      <w:r w:rsidRPr="00863AAC">
        <w:t xml:space="preserve"> Institute of International Finance.</w:t>
      </w:r>
    </w:p>
  </w:footnote>
  <w:footnote w:id="18">
    <w:p w14:paraId="58BEA772" w14:textId="2BAD03EC" w:rsidR="00DF5262" w:rsidRDefault="00DF5262">
      <w:pPr>
        <w:pStyle w:val="FootnoteText"/>
      </w:pPr>
      <w:r>
        <w:rPr>
          <w:rStyle w:val="FootnoteReference"/>
        </w:rPr>
        <w:footnoteRef/>
      </w:r>
      <w:r>
        <w:t xml:space="preserve"> </w:t>
      </w:r>
      <w:r w:rsidRPr="00D7120F">
        <w:t xml:space="preserve">Martin Ford, </w:t>
      </w:r>
      <w:r w:rsidRPr="0037469A">
        <w:rPr>
          <w:rStyle w:val="ital"/>
        </w:rPr>
        <w:t>The Rise of the Robots</w:t>
      </w:r>
      <w:r w:rsidRPr="00D7120F">
        <w:t xml:space="preserve">, quoting Emmanuel </w:t>
      </w:r>
      <w:proofErr w:type="spellStart"/>
      <w:r w:rsidRPr="00D7120F">
        <w:t>Saez</w:t>
      </w:r>
      <w:proofErr w:type="spellEnd"/>
      <w:r w:rsidRPr="00D7120F">
        <w:t xml:space="preserve">, “Striking It Richer: The Evolution of Top Incomes in the United States,” </w:t>
      </w:r>
      <w:r w:rsidRPr="0037469A">
        <w:rPr>
          <w:rStyle w:val="ital"/>
        </w:rPr>
        <w:t>Pathways</w:t>
      </w:r>
      <w:r w:rsidRPr="00D7120F">
        <w:t>, Stanford Center for the Study of Poverty and Inequality, Winter 2008, pp. 6</w:t>
      </w:r>
      <w:r>
        <w:t>–</w:t>
      </w:r>
      <w:r w:rsidRPr="00D7120F">
        <w:t>7, updated June 30, 2016. https://eml.berkeley.edu/~saez/saez-UStopincomes-2015.pdf.</w:t>
      </w:r>
    </w:p>
  </w:footnote>
  <w:footnote w:id="19">
    <w:p w14:paraId="7D4EAC44" w14:textId="7A1824C0" w:rsidR="00C446FA" w:rsidRDefault="00C446FA">
      <w:pPr>
        <w:pStyle w:val="FootnoteText"/>
      </w:pPr>
      <w:r>
        <w:rPr>
          <w:rStyle w:val="FootnoteReference"/>
        </w:rPr>
        <w:footnoteRef/>
      </w:r>
      <w:r>
        <w:t xml:space="preserve"> See for example, Erik </w:t>
      </w:r>
      <w:r w:rsidRPr="00E74DC7">
        <w:t xml:space="preserve">Brynjolfsson and </w:t>
      </w:r>
      <w:r>
        <w:t xml:space="preserve">Andrew </w:t>
      </w:r>
      <w:r w:rsidRPr="00E74DC7">
        <w:t>McAfee</w:t>
      </w:r>
      <w:r>
        <w:t>,</w:t>
      </w:r>
      <w:r w:rsidRPr="00E74DC7">
        <w:t xml:space="preserve"> </w:t>
      </w:r>
      <w:r w:rsidRPr="0037469A">
        <w:rPr>
          <w:rStyle w:val="ital"/>
        </w:rPr>
        <w:t>The Second Machine Age,</w:t>
      </w:r>
      <w:r w:rsidRPr="00E74DC7">
        <w:t xml:space="preserve"> 2014</w:t>
      </w:r>
      <w:r>
        <w:t xml:space="preserve">, and </w:t>
      </w:r>
      <w:proofErr w:type="spellStart"/>
      <w:r>
        <w:t>Cyrille</w:t>
      </w:r>
      <w:proofErr w:type="spellEnd"/>
      <w:r>
        <w:t xml:space="preserve"> </w:t>
      </w:r>
      <w:proofErr w:type="spellStart"/>
      <w:r>
        <w:t>Schwellnus</w:t>
      </w:r>
      <w:proofErr w:type="spellEnd"/>
      <w:r>
        <w:t xml:space="preserve">, Andreas </w:t>
      </w:r>
      <w:proofErr w:type="spellStart"/>
      <w:r>
        <w:t>Kappeler</w:t>
      </w:r>
      <w:proofErr w:type="spellEnd"/>
      <w:r>
        <w:t xml:space="preserve">, and Pierre-Alain </w:t>
      </w:r>
      <w:proofErr w:type="spellStart"/>
      <w:r>
        <w:t>Pionnier</w:t>
      </w:r>
      <w:proofErr w:type="spellEnd"/>
      <w:r>
        <w:t xml:space="preserve">, “Decoupling of Wages from Productivity: Macro-Level Facts,” OECD, January 2017. Or Andrew Sharpe and James </w:t>
      </w:r>
      <w:proofErr w:type="spellStart"/>
      <w:r>
        <w:t>Uguccioni</w:t>
      </w:r>
      <w:proofErr w:type="spellEnd"/>
      <w:r>
        <w:t xml:space="preserve">, </w:t>
      </w:r>
      <w:r w:rsidRPr="0037469A">
        <w:rPr>
          <w:rStyle w:val="ital"/>
        </w:rPr>
        <w:t xml:space="preserve">Decomposing the Productivity Wage Nexus in Selected OECD Countries, 1986-2013, </w:t>
      </w:r>
      <w:r w:rsidRPr="004A0CEA">
        <w:rPr>
          <w:rStyle w:val="ital"/>
          <w:i w:val="0"/>
          <w:iCs/>
        </w:rPr>
        <w:t>J</w:t>
      </w:r>
      <w:r w:rsidRPr="00DC09EA">
        <w:t>uly</w:t>
      </w:r>
      <w:r>
        <w:t xml:space="preserve"> 2016, International Productivity Monitor.</w:t>
      </w:r>
    </w:p>
  </w:footnote>
  <w:footnote w:id="20">
    <w:p w14:paraId="38F3FBC4" w14:textId="337ADAD2" w:rsidR="00CC5C7D" w:rsidRDefault="00CC5C7D">
      <w:pPr>
        <w:pStyle w:val="FootnoteText"/>
      </w:pPr>
      <w:r>
        <w:rPr>
          <w:rStyle w:val="FootnoteReference"/>
        </w:rPr>
        <w:footnoteRef/>
      </w:r>
      <w:r>
        <w:t xml:space="preserve"> </w:t>
      </w:r>
      <w:r w:rsidRPr="00EF16F0">
        <w:t>See:</w:t>
      </w:r>
      <w:r w:rsidRPr="008471D9">
        <w:t xml:space="preserve"> </w:t>
      </w:r>
      <w:r w:rsidRPr="00B150E6">
        <w:t>Andrew</w:t>
      </w:r>
      <w:r>
        <w:t xml:space="preserve"> G. Berg and Jonathan D. </w:t>
      </w:r>
      <w:proofErr w:type="spellStart"/>
      <w:r>
        <w:t>Ostry</w:t>
      </w:r>
      <w:proofErr w:type="spellEnd"/>
      <w:r>
        <w:t>, “</w:t>
      </w:r>
      <w:r w:rsidRPr="00B150E6">
        <w:t>Inequality and Unsustainable Growth: Two Sides of the Same Coin?</w:t>
      </w:r>
      <w:r>
        <w:t>”</w:t>
      </w:r>
      <w:r w:rsidRPr="00B150E6">
        <w:t xml:space="preserve"> IMF staff discussion note</w:t>
      </w:r>
      <w:r>
        <w:t>,</w:t>
      </w:r>
      <w:r w:rsidRPr="00B150E6">
        <w:t xml:space="preserve"> 2011</w:t>
      </w:r>
      <w:r>
        <w:t xml:space="preserve">. And IMF Fiscal Monitor, </w:t>
      </w:r>
      <w:r w:rsidRPr="0037469A">
        <w:rPr>
          <w:rStyle w:val="ital"/>
        </w:rPr>
        <w:t>Tackling Inequality</w:t>
      </w:r>
      <w:r>
        <w:t>, October 2017.</w:t>
      </w:r>
    </w:p>
  </w:footnote>
  <w:footnote w:id="21">
    <w:p w14:paraId="40C5E212" w14:textId="18627905" w:rsidR="00CC5C7D" w:rsidRDefault="00CC5C7D">
      <w:pPr>
        <w:pStyle w:val="FootnoteText"/>
      </w:pPr>
      <w:r>
        <w:rPr>
          <w:rStyle w:val="FootnoteReference"/>
        </w:rPr>
        <w:footnoteRef/>
      </w:r>
      <w:r>
        <w:t xml:space="preserve"> OECD, </w:t>
      </w:r>
      <w:r w:rsidRPr="0037469A">
        <w:rPr>
          <w:rStyle w:val="ital"/>
        </w:rPr>
        <w:t>In It Together: Why Less Inequality Benefits All,</w:t>
      </w:r>
      <w:r>
        <w:t xml:space="preserve"> OECD Publishing, Paris, 2015. </w:t>
      </w:r>
      <w:r w:rsidRPr="008606A3">
        <w:t>http://dx.doi.org/10.1787/9789264235120-en</w:t>
      </w:r>
      <w:r>
        <w:t>.</w:t>
      </w:r>
    </w:p>
  </w:footnote>
  <w:footnote w:id="22">
    <w:p w14:paraId="25CEFACA" w14:textId="07F0BB52" w:rsidR="00CC5C7D" w:rsidRDefault="00CC5C7D">
      <w:pPr>
        <w:pStyle w:val="FootnoteText"/>
      </w:pPr>
      <w:r>
        <w:rPr>
          <w:rStyle w:val="FootnoteReference"/>
        </w:rPr>
        <w:footnoteRef/>
      </w:r>
      <w:r>
        <w:t xml:space="preserve"> </w:t>
      </w:r>
      <w:r w:rsidRPr="00CC5C7D">
        <w:t>https://www.epi.org/publication/secular-stagnation/</w:t>
      </w:r>
    </w:p>
  </w:footnote>
  <w:footnote w:id="23">
    <w:p w14:paraId="3192E9C6" w14:textId="7B670AA2" w:rsidR="00CC5C7D" w:rsidRDefault="00CC5C7D">
      <w:pPr>
        <w:pStyle w:val="FootnoteText"/>
      </w:pPr>
      <w:r>
        <w:rPr>
          <w:rStyle w:val="FootnoteReference"/>
        </w:rPr>
        <w:footnoteRef/>
      </w:r>
      <w:r>
        <w:t xml:space="preserve"> </w:t>
      </w:r>
      <w:r w:rsidRPr="00F04F6C">
        <w:t>https://www.brookings.edu/wp-content/uploads/2019/03/On-Falling-Neutral-Real-Rates-Fiscal-Policy-and-the-Risk-of-Secular-Stagnation.pdf</w:t>
      </w:r>
      <w:r>
        <w:t>.</w:t>
      </w:r>
    </w:p>
  </w:footnote>
  <w:footnote w:id="24">
    <w:p w14:paraId="784017A9" w14:textId="38D89DA3" w:rsidR="008E2688" w:rsidRDefault="008E2688" w:rsidP="008E2688">
      <w:pPr>
        <w:pStyle w:val="EndnoteText"/>
      </w:pPr>
      <w:r>
        <w:rPr>
          <w:rStyle w:val="FootnoteReference"/>
        </w:rPr>
        <w:footnoteRef/>
      </w:r>
      <w:r>
        <w:t xml:space="preserve"> See: Antonio </w:t>
      </w:r>
      <w:proofErr w:type="spellStart"/>
      <w:r>
        <w:t>Fatás</w:t>
      </w:r>
      <w:proofErr w:type="spellEnd"/>
      <w:r>
        <w:t xml:space="preserve">, “Do Business Cycles Cast Long Shadows? Short-Run Persistence and Economic Growth,” </w:t>
      </w:r>
      <w:r w:rsidRPr="0037469A">
        <w:rPr>
          <w:rStyle w:val="ital"/>
        </w:rPr>
        <w:t>Journal of Economic Growth</w:t>
      </w:r>
      <w:r>
        <w:t xml:space="preserve">, vol. 5, no. 2, Spring 2000, pp. 147–62; </w:t>
      </w:r>
      <w:hyperlink r:id="rId2" w:history="1">
        <w:r w:rsidRPr="00B0670C">
          <w:rPr>
            <w:rStyle w:val="Hyperlink"/>
          </w:rPr>
          <w:t>https://www.bcg.com/en-ch/publications/2020/machinery-industrial-automation-megatrends</w:t>
        </w:r>
      </w:hyperlink>
      <w:r>
        <w:t xml:space="preserve">; and Antonio </w:t>
      </w:r>
      <w:proofErr w:type="spellStart"/>
      <w:r>
        <w:t>Fatás</w:t>
      </w:r>
      <w:proofErr w:type="spellEnd"/>
      <w:r>
        <w:t xml:space="preserve"> and Lawrence Summers, “Hysteresis and Fiscal Policy During the Global Crisis,” </w:t>
      </w:r>
      <w:r w:rsidRPr="0037469A">
        <w:rPr>
          <w:rStyle w:val="ital"/>
        </w:rPr>
        <w:t>Wall Street Journal</w:t>
      </w:r>
      <w:r>
        <w:t>, October 2016.</w:t>
      </w:r>
    </w:p>
  </w:footnote>
  <w:footnote w:id="25">
    <w:p w14:paraId="329889D1" w14:textId="2C4E8DD9" w:rsidR="008E2688" w:rsidRDefault="008E2688">
      <w:pPr>
        <w:pStyle w:val="FootnoteText"/>
      </w:pPr>
      <w:r>
        <w:rPr>
          <w:rStyle w:val="FootnoteReference"/>
        </w:rPr>
        <w:footnoteRef/>
      </w:r>
      <w:r>
        <w:t xml:space="preserve"> </w:t>
      </w:r>
      <w:r w:rsidRPr="00583CDC">
        <w:t>Thomas Piketty</w:t>
      </w:r>
      <w:r>
        <w:t xml:space="preserve">, </w:t>
      </w:r>
      <w:r w:rsidRPr="0037469A">
        <w:rPr>
          <w:rStyle w:val="ital"/>
        </w:rPr>
        <w:t>Capital in the Twenty-First Century</w:t>
      </w:r>
      <w:r>
        <w:t xml:space="preserve">, </w:t>
      </w:r>
      <w:r w:rsidRPr="008F2BD3">
        <w:t>April 2014</w:t>
      </w:r>
      <w:r>
        <w:t>.</w:t>
      </w:r>
    </w:p>
  </w:footnote>
  <w:footnote w:id="26">
    <w:p w14:paraId="0A301C1E" w14:textId="20E96CA8" w:rsidR="00527019" w:rsidRDefault="00527019">
      <w:pPr>
        <w:pStyle w:val="FootnoteText"/>
      </w:pPr>
      <w:r>
        <w:rPr>
          <w:rStyle w:val="FootnoteReference"/>
        </w:rPr>
        <w:footnoteRef/>
      </w:r>
      <w:r>
        <w:t xml:space="preserve"> Robb Mandelbaum, “</w:t>
      </w:r>
      <w:r w:rsidRPr="00701582">
        <w:t>N</w:t>
      </w:r>
      <w:r>
        <w:t xml:space="preserve">ick </w:t>
      </w:r>
      <w:proofErr w:type="spellStart"/>
      <w:r>
        <w:t>Hanauer</w:t>
      </w:r>
      <w:proofErr w:type="spellEnd"/>
      <w:r>
        <w:t xml:space="preserve"> Wants You To Know Everything You Know About Economics Is Wrong,” </w:t>
      </w:r>
      <w:r w:rsidRPr="0037469A">
        <w:rPr>
          <w:rStyle w:val="ital"/>
        </w:rPr>
        <w:t>Forbes</w:t>
      </w:r>
      <w:r>
        <w:t>, January 2018.</w:t>
      </w:r>
    </w:p>
  </w:footnote>
  <w:footnote w:id="27">
    <w:p w14:paraId="70248375" w14:textId="7EC022D3" w:rsidR="00885926" w:rsidRDefault="00885926">
      <w:pPr>
        <w:pStyle w:val="FootnoteText"/>
      </w:pPr>
      <w:r>
        <w:rPr>
          <w:rStyle w:val="FootnoteReference"/>
        </w:rPr>
        <w:footnoteRef/>
      </w:r>
      <w:r>
        <w:t xml:space="preserve"> Ed Diener, John F. Helliwell, Daniel Kahneman, “International Differences in Well-Being” Oxford University Press 2010. </w:t>
      </w:r>
    </w:p>
  </w:footnote>
  <w:footnote w:id="28">
    <w:p w14:paraId="158F1E94" w14:textId="16B72C14" w:rsidR="00143159" w:rsidRDefault="00143159">
      <w:pPr>
        <w:pStyle w:val="FootnoteText"/>
      </w:pPr>
      <w:r>
        <w:rPr>
          <w:rStyle w:val="FootnoteReference"/>
        </w:rPr>
        <w:footnoteRef/>
      </w:r>
      <w:r>
        <w:t xml:space="preserve"> While for moderate amount of UBI transfers this approach of managing inflation would be sufficient, and largely within the current mandate of central banks, </w:t>
      </w:r>
      <w:proofErr w:type="spellStart"/>
      <w:r w:rsidR="00072719">
        <w:t>m</w:t>
      </w:r>
      <w:r>
        <w:t>onetism</w:t>
      </w:r>
      <w:proofErr w:type="spellEnd"/>
      <w:r>
        <w:t xml:space="preserve"> proposes more themes requiring priority money creation that require rethinking how central banks manage inflation. </w:t>
      </w:r>
      <w:r w:rsidR="008346D5">
        <w:t xml:space="preserve">This is beyond the scope of this paper. Such system is explained </w:t>
      </w:r>
      <w:r w:rsidR="008346D5" w:rsidRPr="00AC4CEF">
        <w:rPr>
          <w:i/>
          <w:iCs/>
        </w:rPr>
        <w:t>Outgrowing Capitalism: Rethinking Money to Reshape Society and Pursue Purpose</w:t>
      </w:r>
      <w:r w:rsidR="008346D5" w:rsidRPr="008346D5">
        <w:t>, forthcoming on October 26</w:t>
      </w:r>
      <w:r w:rsidR="008346D5" w:rsidRPr="008346D5">
        <w:rPr>
          <w:vertAlign w:val="superscript"/>
        </w:rPr>
        <w:t>th</w:t>
      </w:r>
      <w:r w:rsidR="008346D5" w:rsidRPr="008346D5">
        <w:t xml:space="preserve"> 2021.</w:t>
      </w:r>
    </w:p>
  </w:footnote>
  <w:footnote w:id="29">
    <w:p w14:paraId="347F6616" w14:textId="6ADC0647" w:rsidR="00C446FA" w:rsidRDefault="00C446FA">
      <w:pPr>
        <w:pStyle w:val="FootnoteText"/>
      </w:pPr>
      <w:r>
        <w:rPr>
          <w:rStyle w:val="FootnoteReference"/>
        </w:rPr>
        <w:footnoteRef/>
      </w:r>
      <w:r>
        <w:t xml:space="preserve"> </w:t>
      </w:r>
      <w:bookmarkStart w:id="1" w:name="_Hlk73996516"/>
      <w:r w:rsidRPr="00C446FA">
        <w:t>https://www.patreon.com/posts/reducing-debt-50972822</w:t>
      </w:r>
      <w:bookmarkEnd w:id="1"/>
    </w:p>
  </w:footnote>
  <w:footnote w:id="30">
    <w:p w14:paraId="5E9B45C9" w14:textId="681562CC" w:rsidR="00EA6A21" w:rsidRDefault="00EA6A21">
      <w:pPr>
        <w:pStyle w:val="FootnoteText"/>
      </w:pPr>
      <w:r>
        <w:rPr>
          <w:rStyle w:val="FootnoteReference"/>
        </w:rPr>
        <w:footnoteRef/>
      </w:r>
      <w:r>
        <w:t xml:space="preserve"> Money supply defined as M2, compared to nominal yearly GDP.</w:t>
      </w:r>
    </w:p>
  </w:footnote>
  <w:footnote w:id="31">
    <w:p w14:paraId="5D87922B" w14:textId="1CFE23EF" w:rsidR="005421E4" w:rsidRPr="005421E4" w:rsidRDefault="005421E4">
      <w:pPr>
        <w:pStyle w:val="FootnoteText"/>
      </w:pPr>
      <w:r>
        <w:rPr>
          <w:rStyle w:val="FootnoteReference"/>
        </w:rPr>
        <w:footnoteRef/>
      </w:r>
      <w:r>
        <w:t xml:space="preserve"> </w:t>
      </w:r>
      <w:r w:rsidRPr="00E073BB">
        <w:t>https://www.vox.com/future-perfect/2019/10/30/20938236/basic-income-brazil-marica-suplicy-workers-party</w:t>
      </w:r>
      <w:r>
        <w:rPr>
          <w:rStyle w:val="Hyperlink"/>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49E92" w14:textId="77777777" w:rsidR="008776E3" w:rsidRDefault="008776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3F574" w14:textId="77777777" w:rsidR="008776E3" w:rsidRDefault="008776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B2014" w14:textId="77777777" w:rsidR="008776E3" w:rsidRDefault="008776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086FC1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D0CD3F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19EBBE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51A022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7864F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A0019B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F12C3A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1141B9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38065E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E861C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25266"/>
    <w:multiLevelType w:val="hybridMultilevel"/>
    <w:tmpl w:val="9478664A"/>
    <w:lvl w:ilvl="0" w:tplc="1F0EA432">
      <w:start w:val="1"/>
      <w:numFmt w:val="decimal"/>
      <w:lvlText w:val="%1)"/>
      <w:lvlJc w:val="left"/>
      <w:pPr>
        <w:ind w:left="1296"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1" w15:restartNumberingAfterBreak="0">
    <w:nsid w:val="05460002"/>
    <w:multiLevelType w:val="hybridMultilevel"/>
    <w:tmpl w:val="E1F64424"/>
    <w:lvl w:ilvl="0" w:tplc="4B5C768A">
      <w:start w:val="1"/>
      <w:numFmt w:val="lowerLetter"/>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2" w15:restartNumberingAfterBreak="0">
    <w:nsid w:val="09C913E9"/>
    <w:multiLevelType w:val="multilevel"/>
    <w:tmpl w:val="450EAC48"/>
    <w:lvl w:ilvl="0">
      <w:start w:val="1"/>
      <w:numFmt w:val="lowerRoman"/>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Restart w:val="1"/>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3" w15:restartNumberingAfterBreak="0">
    <w:nsid w:val="14D735D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72C381B"/>
    <w:multiLevelType w:val="multilevel"/>
    <w:tmpl w:val="9AAADD26"/>
    <w:lvl w:ilvl="0">
      <w:start w:val="1"/>
      <w:numFmt w:val="bullet"/>
      <w:lvlText w:val="—"/>
      <w:lvlJc w:val="left"/>
      <w:pPr>
        <w:ind w:left="432" w:hanging="432"/>
      </w:pPr>
      <w:rPr>
        <w:rFonts w:ascii="Theinhardt Light" w:hAnsi="Theinhardt Light" w:hint="default"/>
      </w:rPr>
    </w:lvl>
    <w:lvl w:ilvl="1">
      <w:start w:val="1"/>
      <w:numFmt w:val="bullet"/>
      <w:lvlText w:val="•"/>
      <w:lvlJc w:val="left"/>
      <w:pPr>
        <w:ind w:left="864" w:hanging="432"/>
      </w:pPr>
      <w:rPr>
        <w:rFonts w:ascii="Theinhardt Light" w:hAnsi="Theinhardt Light" w:hint="default"/>
        <w:color w:val="auto"/>
      </w:rPr>
    </w:lvl>
    <w:lvl w:ilvl="2">
      <w:start w:val="1"/>
      <w:numFmt w:val="bullet"/>
      <w:lvlText w:val="›"/>
      <w:lvlJc w:val="left"/>
      <w:pPr>
        <w:ind w:left="1296" w:hanging="432"/>
      </w:pPr>
      <w:rPr>
        <w:rFonts w:ascii="Theinhardt Light" w:hAnsi="Theinhardt Light" w:hint="default"/>
        <w:color w:val="002960"/>
      </w:rPr>
    </w:lvl>
    <w:lvl w:ilvl="3">
      <w:start w:val="1"/>
      <w:numFmt w:val="bullet"/>
      <w:lvlText w:val="»"/>
      <w:lvlJc w:val="left"/>
      <w:pPr>
        <w:ind w:left="1728" w:hanging="432"/>
      </w:pPr>
      <w:rPr>
        <w:rFonts w:ascii="Theinhardt Light" w:hAnsi="Theinhardt Light" w:hint="default"/>
      </w:rPr>
    </w:lvl>
    <w:lvl w:ilvl="4">
      <w:start w:val="1"/>
      <w:numFmt w:val="bullet"/>
      <w:lvlText w:val="▫"/>
      <w:lvlJc w:val="left"/>
      <w:pPr>
        <w:ind w:left="2160" w:hanging="432"/>
      </w:pPr>
      <w:rPr>
        <w:rFonts w:ascii="Arial" w:hAnsi="Arial" w:hint="default"/>
      </w:rPr>
    </w:lvl>
    <w:lvl w:ilvl="5">
      <w:start w:val="1"/>
      <w:numFmt w:val="bullet"/>
      <w:lvlText w:val="–"/>
      <w:lvlJc w:val="left"/>
      <w:pPr>
        <w:ind w:left="2592" w:hanging="432"/>
      </w:pPr>
      <w:rPr>
        <w:rFonts w:ascii="Segoe UI" w:hAnsi="Segoe UI" w:hint="default"/>
      </w:rPr>
    </w:lvl>
    <w:lvl w:ilvl="6">
      <w:start w:val="1"/>
      <w:numFmt w:val="bullet"/>
      <w:lvlText w:val="◦"/>
      <w:lvlJc w:val="left"/>
      <w:pPr>
        <w:ind w:left="3024" w:hanging="432"/>
      </w:pPr>
      <w:rPr>
        <w:rFonts w:ascii="Arial" w:hAnsi="Arial" w:hint="default"/>
      </w:rPr>
    </w:lvl>
    <w:lvl w:ilvl="7">
      <w:start w:val="1"/>
      <w:numFmt w:val="bullet"/>
      <w:lvlText w:val="▪"/>
      <w:lvlJc w:val="left"/>
      <w:pPr>
        <w:ind w:left="3456" w:hanging="432"/>
      </w:pPr>
      <w:rPr>
        <w:rFonts w:ascii="Calibri" w:hAnsi="Calibri" w:hint="default"/>
      </w:rPr>
    </w:lvl>
    <w:lvl w:ilvl="8">
      <w:start w:val="1"/>
      <w:numFmt w:val="bullet"/>
      <w:lvlText w:val="▪"/>
      <w:lvlJc w:val="left"/>
      <w:pPr>
        <w:ind w:left="3888" w:hanging="432"/>
      </w:pPr>
      <w:rPr>
        <w:rFonts w:ascii="Calibri" w:hAnsi="Calibri" w:hint="default"/>
      </w:rPr>
    </w:lvl>
  </w:abstractNum>
  <w:abstractNum w:abstractNumId="15" w15:restartNumberingAfterBreak="0">
    <w:nsid w:val="1ADC1FF7"/>
    <w:multiLevelType w:val="multilevel"/>
    <w:tmpl w:val="F0824414"/>
    <w:lvl w:ilvl="0">
      <w:start w:val="1"/>
      <w:numFmt w:val="decimal"/>
      <w:pStyle w:val="05L1"/>
      <w:lvlText w:val="%1."/>
      <w:lvlJc w:val="left"/>
      <w:pPr>
        <w:ind w:left="360" w:hanging="360"/>
      </w:pPr>
      <w:rPr>
        <w:rFonts w:hint="default"/>
      </w:rPr>
    </w:lvl>
    <w:lvl w:ilvl="1">
      <w:start w:val="1"/>
      <w:numFmt w:val="lowerLetter"/>
      <w:pStyle w:val="05L2"/>
      <w:lvlText w:val="%2."/>
      <w:lvlJc w:val="left"/>
      <w:pPr>
        <w:ind w:left="792" w:hanging="432"/>
      </w:pPr>
      <w:rPr>
        <w:rFonts w:hint="default"/>
        <w:color w:val="auto"/>
      </w:rPr>
    </w:lvl>
    <w:lvl w:ilvl="2">
      <w:start w:val="1"/>
      <w:numFmt w:val="decimal"/>
      <w:pStyle w:val="05L3"/>
      <w:lvlText w:val="%3)"/>
      <w:lvlJc w:val="left"/>
      <w:pPr>
        <w:ind w:left="1224" w:hanging="504"/>
      </w:pPr>
      <w:rPr>
        <w:rFonts w:hint="default"/>
        <w:color w:val="auto"/>
      </w:rPr>
    </w:lvl>
    <w:lvl w:ilvl="3">
      <w:start w:val="1"/>
      <w:numFmt w:val="lowerLetter"/>
      <w:pStyle w:val="05L4"/>
      <w:lvlText w:val="%4)"/>
      <w:lvlJc w:val="left"/>
      <w:pPr>
        <w:ind w:left="1728" w:hanging="648"/>
      </w:pPr>
      <w:rPr>
        <w:rFonts w:hint="default"/>
        <w:color w:val="auto"/>
      </w:rPr>
    </w:lvl>
    <w:lvl w:ilvl="4">
      <w:start w:val="1"/>
      <w:numFmt w:val="decimal"/>
      <w:lvlText w:val="%1.%2.%3.%4.%5."/>
      <w:lvlJc w:val="left"/>
      <w:pPr>
        <w:ind w:left="2232" w:hanging="792"/>
      </w:pPr>
      <w:rPr>
        <w:rFonts w:hint="default"/>
        <w:color w:val="auto"/>
      </w:rPr>
    </w:lvl>
    <w:lvl w:ilvl="5">
      <w:start w:val="1"/>
      <w:numFmt w:val="decimal"/>
      <w:lvlText w:val="%1.%2.%3.%4.%5.%6."/>
      <w:lvlJc w:val="left"/>
      <w:pPr>
        <w:ind w:left="2736" w:hanging="936"/>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0B27BFD"/>
    <w:multiLevelType w:val="multilevel"/>
    <w:tmpl w:val="F59A9974"/>
    <w:lvl w:ilvl="0">
      <w:start w:val="1"/>
      <w:numFmt w:val="bullet"/>
      <w:lvlText w:val="—"/>
      <w:lvlJc w:val="left"/>
      <w:pPr>
        <w:ind w:left="1620" w:hanging="360"/>
      </w:pPr>
      <w:rPr>
        <w:rFonts w:ascii="Theinhardt Light" w:hAnsi="Theinhardt Light" w:hint="default"/>
        <w:b w:val="0"/>
        <w:i w:val="0"/>
        <w:color w:val="auto"/>
        <w:sz w:val="18"/>
      </w:rPr>
    </w:lvl>
    <w:lvl w:ilvl="1">
      <w:start w:val="1"/>
      <w:numFmt w:val="bullet"/>
      <w:lvlText w:val="•"/>
      <w:lvlJc w:val="left"/>
      <w:pPr>
        <w:ind w:left="1980" w:hanging="360"/>
      </w:pPr>
      <w:rPr>
        <w:rFonts w:ascii="Theinhardt Light" w:hAnsi="Theinhardt Light" w:hint="default"/>
        <w:color w:val="auto"/>
        <w:sz w:val="24"/>
      </w:rPr>
    </w:lvl>
    <w:lvl w:ilvl="2">
      <w:start w:val="1"/>
      <w:numFmt w:val="bullet"/>
      <w:lvlText w:val="»"/>
      <w:lvlJc w:val="left"/>
      <w:pPr>
        <w:ind w:left="2340" w:hanging="360"/>
      </w:pPr>
      <w:rPr>
        <w:rFonts w:ascii="Theinhardt Light" w:hAnsi="Theinhardt Light" w:hint="default"/>
        <w:color w:val="auto"/>
        <w:sz w:val="20"/>
      </w:rPr>
    </w:lvl>
    <w:lvl w:ilvl="3">
      <w:start w:val="1"/>
      <w:numFmt w:val="bullet"/>
      <w:lvlText w:val="›"/>
      <w:lvlJc w:val="left"/>
      <w:pPr>
        <w:ind w:left="2700" w:hanging="360"/>
      </w:pPr>
      <w:rPr>
        <w:rFonts w:ascii="Theinhardt Light" w:hAnsi="Theinhardt Light" w:hint="default"/>
        <w:color w:val="002960"/>
        <w:sz w:val="24"/>
      </w:rPr>
    </w:lvl>
    <w:lvl w:ilvl="4">
      <w:start w:val="1"/>
      <w:numFmt w:val="bullet"/>
      <w:lvlText w:val="•"/>
      <w:lvlJc w:val="left"/>
      <w:pPr>
        <w:ind w:left="3060" w:hanging="360"/>
      </w:pPr>
      <w:rPr>
        <w:rFonts w:ascii="Theinhardt Light" w:hAnsi="Theinhardt Light" w:hint="default"/>
        <w:color w:val="auto"/>
      </w:rPr>
    </w:lvl>
    <w:lvl w:ilvl="5">
      <w:start w:val="1"/>
      <w:numFmt w:val="bullet"/>
      <w:lvlText w:val="•"/>
      <w:lvlJc w:val="left"/>
      <w:pPr>
        <w:ind w:left="3420" w:hanging="360"/>
      </w:pPr>
      <w:rPr>
        <w:rFonts w:ascii="Theinhardt Light" w:hAnsi="Theinhardt Light" w:hint="default"/>
        <w:color w:val="auto"/>
      </w:rPr>
    </w:lvl>
    <w:lvl w:ilvl="6">
      <w:start w:val="1"/>
      <w:numFmt w:val="bullet"/>
      <w:lvlText w:val="•"/>
      <w:lvlJc w:val="left"/>
      <w:pPr>
        <w:ind w:left="3780" w:hanging="360"/>
      </w:pPr>
      <w:rPr>
        <w:rFonts w:ascii="Theinhardt Light" w:hAnsi="Theinhardt Light" w:hint="default"/>
        <w:color w:val="auto"/>
      </w:rPr>
    </w:lvl>
    <w:lvl w:ilvl="7">
      <w:start w:val="1"/>
      <w:numFmt w:val="bullet"/>
      <w:lvlText w:val="•"/>
      <w:lvlJc w:val="left"/>
      <w:pPr>
        <w:ind w:left="4140" w:hanging="360"/>
      </w:pPr>
      <w:rPr>
        <w:rFonts w:ascii="Theinhardt Light" w:hAnsi="Theinhardt Light" w:hint="default"/>
        <w:color w:val="auto"/>
      </w:rPr>
    </w:lvl>
    <w:lvl w:ilvl="8">
      <w:start w:val="1"/>
      <w:numFmt w:val="bullet"/>
      <w:lvlText w:val="•"/>
      <w:lvlJc w:val="left"/>
      <w:pPr>
        <w:ind w:left="4500" w:hanging="360"/>
      </w:pPr>
      <w:rPr>
        <w:rFonts w:ascii="Theinhardt Light" w:hAnsi="Theinhardt Light" w:hint="default"/>
        <w:color w:val="auto"/>
      </w:rPr>
    </w:lvl>
  </w:abstractNum>
  <w:abstractNum w:abstractNumId="17" w15:restartNumberingAfterBreak="0">
    <w:nsid w:val="2A1C2195"/>
    <w:multiLevelType w:val="multilevel"/>
    <w:tmpl w:val="9880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CAB6972"/>
    <w:multiLevelType w:val="multilevel"/>
    <w:tmpl w:val="9AAADD26"/>
    <w:lvl w:ilvl="0">
      <w:start w:val="1"/>
      <w:numFmt w:val="bullet"/>
      <w:lvlText w:val="—"/>
      <w:lvlJc w:val="left"/>
      <w:pPr>
        <w:ind w:left="432" w:hanging="432"/>
      </w:pPr>
      <w:rPr>
        <w:rFonts w:ascii="Theinhardt Light" w:hAnsi="Theinhardt Light" w:hint="default"/>
      </w:rPr>
    </w:lvl>
    <w:lvl w:ilvl="1">
      <w:start w:val="1"/>
      <w:numFmt w:val="bullet"/>
      <w:lvlText w:val="•"/>
      <w:lvlJc w:val="left"/>
      <w:pPr>
        <w:ind w:left="864" w:hanging="432"/>
      </w:pPr>
      <w:rPr>
        <w:rFonts w:ascii="Theinhardt Light" w:hAnsi="Theinhardt Light" w:hint="default"/>
        <w:color w:val="auto"/>
      </w:rPr>
    </w:lvl>
    <w:lvl w:ilvl="2">
      <w:start w:val="1"/>
      <w:numFmt w:val="bullet"/>
      <w:lvlText w:val="›"/>
      <w:lvlJc w:val="left"/>
      <w:pPr>
        <w:ind w:left="1296" w:hanging="432"/>
      </w:pPr>
      <w:rPr>
        <w:rFonts w:ascii="Theinhardt Light" w:hAnsi="Theinhardt Light" w:hint="default"/>
        <w:color w:val="002960"/>
      </w:rPr>
    </w:lvl>
    <w:lvl w:ilvl="3">
      <w:start w:val="1"/>
      <w:numFmt w:val="bullet"/>
      <w:lvlText w:val="»"/>
      <w:lvlJc w:val="left"/>
      <w:pPr>
        <w:ind w:left="1728" w:hanging="432"/>
      </w:pPr>
      <w:rPr>
        <w:rFonts w:ascii="Theinhardt Light" w:hAnsi="Theinhardt Light" w:hint="default"/>
      </w:rPr>
    </w:lvl>
    <w:lvl w:ilvl="4">
      <w:start w:val="1"/>
      <w:numFmt w:val="bullet"/>
      <w:lvlText w:val="▫"/>
      <w:lvlJc w:val="left"/>
      <w:pPr>
        <w:ind w:left="2160" w:hanging="432"/>
      </w:pPr>
      <w:rPr>
        <w:rFonts w:ascii="Arial" w:hAnsi="Arial" w:hint="default"/>
      </w:rPr>
    </w:lvl>
    <w:lvl w:ilvl="5">
      <w:start w:val="1"/>
      <w:numFmt w:val="bullet"/>
      <w:lvlText w:val="–"/>
      <w:lvlJc w:val="left"/>
      <w:pPr>
        <w:ind w:left="2592" w:hanging="432"/>
      </w:pPr>
      <w:rPr>
        <w:rFonts w:ascii="Segoe UI" w:hAnsi="Segoe UI" w:hint="default"/>
      </w:rPr>
    </w:lvl>
    <w:lvl w:ilvl="6">
      <w:start w:val="1"/>
      <w:numFmt w:val="bullet"/>
      <w:lvlText w:val="◦"/>
      <w:lvlJc w:val="left"/>
      <w:pPr>
        <w:ind w:left="3024" w:hanging="432"/>
      </w:pPr>
      <w:rPr>
        <w:rFonts w:ascii="Arial" w:hAnsi="Arial" w:hint="default"/>
      </w:rPr>
    </w:lvl>
    <w:lvl w:ilvl="7">
      <w:start w:val="1"/>
      <w:numFmt w:val="bullet"/>
      <w:lvlText w:val="▪"/>
      <w:lvlJc w:val="left"/>
      <w:pPr>
        <w:ind w:left="3456" w:hanging="432"/>
      </w:pPr>
      <w:rPr>
        <w:rFonts w:ascii="Calibri" w:hAnsi="Calibri" w:hint="default"/>
      </w:rPr>
    </w:lvl>
    <w:lvl w:ilvl="8">
      <w:start w:val="1"/>
      <w:numFmt w:val="bullet"/>
      <w:lvlText w:val="▪"/>
      <w:lvlJc w:val="left"/>
      <w:pPr>
        <w:ind w:left="3888" w:hanging="432"/>
      </w:pPr>
      <w:rPr>
        <w:rFonts w:ascii="Calibri" w:hAnsi="Calibri" w:hint="default"/>
      </w:rPr>
    </w:lvl>
  </w:abstractNum>
  <w:abstractNum w:abstractNumId="19" w15:restartNumberingAfterBreak="0">
    <w:nsid w:val="3DE00214"/>
    <w:multiLevelType w:val="multilevel"/>
    <w:tmpl w:val="2602755C"/>
    <w:lvl w:ilvl="0">
      <w:start w:val="1"/>
      <w:numFmt w:val="decimal"/>
      <w:lvlText w:val="%1."/>
      <w:lvlJc w:val="left"/>
      <w:pPr>
        <w:ind w:left="288" w:hanging="288"/>
      </w:pPr>
      <w:rPr>
        <w:rFonts w:hint="default"/>
      </w:rPr>
    </w:lvl>
    <w:lvl w:ilvl="1">
      <w:start w:val="1"/>
      <w:numFmt w:val="decimal"/>
      <w:lvlText w:val="%1.%2."/>
      <w:lvlJc w:val="left"/>
      <w:pPr>
        <w:ind w:left="576" w:hanging="288"/>
      </w:pPr>
      <w:rPr>
        <w:rFonts w:hint="default"/>
      </w:rPr>
    </w:lvl>
    <w:lvl w:ilvl="2">
      <w:start w:val="1"/>
      <w:numFmt w:val="decimal"/>
      <w:lvlText w:val="%1.%2.%3."/>
      <w:lvlJc w:val="left"/>
      <w:pPr>
        <w:ind w:left="864" w:hanging="288"/>
      </w:pPr>
      <w:rPr>
        <w:rFonts w:hint="default"/>
      </w:rPr>
    </w:lvl>
    <w:lvl w:ilvl="3">
      <w:start w:val="1"/>
      <w:numFmt w:val="decimal"/>
      <w:lvlText w:val="%1.%2.%3.%4."/>
      <w:lvlJc w:val="left"/>
      <w:pPr>
        <w:ind w:left="1728" w:hanging="1152"/>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15946BF"/>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E555440"/>
    <w:multiLevelType w:val="hybridMultilevel"/>
    <w:tmpl w:val="B9266F60"/>
    <w:lvl w:ilvl="0" w:tplc="8AF69A08">
      <w:start w:val="1"/>
      <w:numFmt w:val="lowerLetter"/>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2" w15:restartNumberingAfterBreak="0">
    <w:nsid w:val="4E7642E0"/>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3664307"/>
    <w:multiLevelType w:val="multilevel"/>
    <w:tmpl w:val="B010ED6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4405CDB"/>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575239F7"/>
    <w:multiLevelType w:val="multilevel"/>
    <w:tmpl w:val="83967B78"/>
    <w:lvl w:ilvl="0">
      <w:start w:val="1"/>
      <w:numFmt w:val="bullet"/>
      <w:lvlText w:val=""/>
      <w:lvlJc w:val="left"/>
      <w:pPr>
        <w:ind w:left="288" w:hanging="288"/>
      </w:pPr>
      <w:rPr>
        <w:rFonts w:ascii="Wingdings" w:hAnsi="Wingdings" w:hint="default"/>
      </w:rPr>
    </w:lvl>
    <w:lvl w:ilvl="1">
      <w:start w:val="1"/>
      <w:numFmt w:val="bullet"/>
      <w:lvlText w:val="—"/>
      <w:lvlJc w:val="left"/>
      <w:pPr>
        <w:ind w:left="576" w:hanging="288"/>
      </w:pPr>
      <w:rPr>
        <w:rFonts w:ascii="Theinhardt Light" w:hAnsi="Theinhardt Light" w:hint="default"/>
        <w:color w:val="auto"/>
      </w:rPr>
    </w:lvl>
    <w:lvl w:ilvl="2">
      <w:start w:val="1"/>
      <w:numFmt w:val="bullet"/>
      <w:lvlText w:val="›"/>
      <w:lvlJc w:val="left"/>
      <w:pPr>
        <w:ind w:left="864" w:hanging="288"/>
      </w:pPr>
      <w:rPr>
        <w:rFonts w:ascii="Theinhardt Light" w:hAnsi="Theinhardt Light" w:hint="default"/>
        <w:color w:val="auto"/>
      </w:rPr>
    </w:lvl>
    <w:lvl w:ilvl="3">
      <w:start w:val="1"/>
      <w:numFmt w:val="bullet"/>
      <w:lvlText w:val="»"/>
      <w:lvlJc w:val="left"/>
      <w:pPr>
        <w:ind w:left="1152" w:hanging="288"/>
      </w:pPr>
      <w:rPr>
        <w:rFonts w:ascii="Theinhardt Light" w:hAnsi="Theinhardt Light" w:hint="default"/>
        <w:color w:val="auto"/>
      </w:rPr>
    </w:lvl>
    <w:lvl w:ilvl="4">
      <w:start w:val="1"/>
      <w:numFmt w:val="bullet"/>
      <w:lvlText w:val="▫"/>
      <w:lvlJc w:val="left"/>
      <w:pPr>
        <w:ind w:left="1440" w:hanging="288"/>
      </w:pPr>
      <w:rPr>
        <w:rFonts w:asciiTheme="minorHAnsi" w:hAnsiTheme="minorHAnsi" w:hint="default"/>
        <w:color w:val="auto"/>
      </w:rPr>
    </w:lvl>
    <w:lvl w:ilvl="5">
      <w:start w:val="1"/>
      <w:numFmt w:val="bullet"/>
      <w:lvlText w:val="▫"/>
      <w:lvlJc w:val="left"/>
      <w:pPr>
        <w:ind w:left="1728" w:hanging="288"/>
      </w:pPr>
      <w:rPr>
        <w:rFonts w:asciiTheme="minorHAnsi" w:hAnsiTheme="minorHAnsi" w:hint="default"/>
        <w:color w:val="auto"/>
      </w:rPr>
    </w:lvl>
    <w:lvl w:ilvl="6">
      <w:start w:val="1"/>
      <w:numFmt w:val="bullet"/>
      <w:lvlText w:val="▫"/>
      <w:lvlJc w:val="left"/>
      <w:pPr>
        <w:ind w:left="2016" w:hanging="288"/>
      </w:pPr>
      <w:rPr>
        <w:rFonts w:asciiTheme="minorHAnsi" w:hAnsiTheme="minorHAnsi" w:hint="default"/>
        <w:color w:val="auto"/>
      </w:rPr>
    </w:lvl>
    <w:lvl w:ilvl="7">
      <w:start w:val="1"/>
      <w:numFmt w:val="bullet"/>
      <w:lvlText w:val="▫"/>
      <w:lvlJc w:val="left"/>
      <w:pPr>
        <w:ind w:left="2304" w:hanging="288"/>
      </w:pPr>
      <w:rPr>
        <w:rFonts w:asciiTheme="minorHAnsi" w:hAnsiTheme="minorHAnsi" w:hint="default"/>
      </w:rPr>
    </w:lvl>
    <w:lvl w:ilvl="8">
      <w:start w:val="1"/>
      <w:numFmt w:val="bullet"/>
      <w:lvlText w:val="▪"/>
      <w:lvlJc w:val="left"/>
      <w:pPr>
        <w:ind w:left="2592" w:hanging="288"/>
      </w:pPr>
      <w:rPr>
        <w:rFonts w:ascii="Calibri" w:hAnsi="Calibri" w:hint="default"/>
      </w:rPr>
    </w:lvl>
  </w:abstractNum>
  <w:abstractNum w:abstractNumId="26" w15:restartNumberingAfterBreak="0">
    <w:nsid w:val="5CD63A20"/>
    <w:multiLevelType w:val="multilevel"/>
    <w:tmpl w:val="F238DCCE"/>
    <w:lvl w:ilvl="0">
      <w:start w:val="1"/>
      <w:numFmt w:val="bullet"/>
      <w:pStyle w:val="01B1Dot"/>
      <w:lvlText w:val="●"/>
      <w:lvlJc w:val="left"/>
      <w:pPr>
        <w:ind w:left="360" w:hanging="360"/>
      </w:pPr>
      <w:rPr>
        <w:rFonts w:ascii="Arial" w:hAnsi="Arial" w:hint="default"/>
      </w:rPr>
    </w:lvl>
    <w:lvl w:ilvl="1">
      <w:start w:val="1"/>
      <w:numFmt w:val="bullet"/>
      <w:pStyle w:val="01B2Dash"/>
      <w:lvlText w:val="—"/>
      <w:lvlJc w:val="left"/>
      <w:pPr>
        <w:ind w:left="576" w:hanging="288"/>
      </w:pPr>
      <w:rPr>
        <w:rFonts w:ascii="Theinhardt Light" w:hAnsi="Theinhardt Light" w:hint="default"/>
        <w:color w:val="auto"/>
      </w:rPr>
    </w:lvl>
    <w:lvl w:ilvl="2">
      <w:start w:val="1"/>
      <w:numFmt w:val="bullet"/>
      <w:pStyle w:val="01B3Chevron"/>
      <w:lvlText w:val="›"/>
      <w:lvlJc w:val="left"/>
      <w:pPr>
        <w:ind w:left="864" w:hanging="288"/>
      </w:pPr>
      <w:rPr>
        <w:rFonts w:ascii="Arial" w:hAnsi="Arial" w:hint="default"/>
        <w:color w:val="auto"/>
      </w:rPr>
    </w:lvl>
    <w:lvl w:ilvl="3">
      <w:start w:val="1"/>
      <w:numFmt w:val="bullet"/>
      <w:pStyle w:val="01B4Chevron"/>
      <w:lvlText w:val="»"/>
      <w:lvlJc w:val="left"/>
      <w:pPr>
        <w:ind w:left="1152" w:hanging="288"/>
      </w:pPr>
      <w:rPr>
        <w:rFonts w:ascii="Arial" w:hAnsi="Arial" w:hint="default"/>
        <w:color w:val="auto"/>
      </w:rPr>
    </w:lvl>
    <w:lvl w:ilvl="4">
      <w:start w:val="1"/>
      <w:numFmt w:val="bullet"/>
      <w:pStyle w:val="01B5Square"/>
      <w:lvlText w:val="▫"/>
      <w:lvlJc w:val="left"/>
      <w:pPr>
        <w:ind w:left="1440" w:hanging="288"/>
      </w:pPr>
      <w:rPr>
        <w:rFonts w:ascii="Arial" w:hAnsi="Arial" w:hint="default"/>
        <w:color w:val="auto"/>
      </w:rPr>
    </w:lvl>
    <w:lvl w:ilvl="5">
      <w:start w:val="1"/>
      <w:numFmt w:val="bullet"/>
      <w:lvlText w:val="▫"/>
      <w:lvlJc w:val="left"/>
      <w:pPr>
        <w:ind w:left="1728" w:hanging="288"/>
      </w:pPr>
      <w:rPr>
        <w:rFonts w:asciiTheme="minorHAnsi" w:hAnsiTheme="minorHAnsi" w:hint="default"/>
        <w:color w:val="auto"/>
      </w:rPr>
    </w:lvl>
    <w:lvl w:ilvl="6">
      <w:start w:val="1"/>
      <w:numFmt w:val="bullet"/>
      <w:lvlText w:val="▫"/>
      <w:lvlJc w:val="left"/>
      <w:pPr>
        <w:ind w:left="2016" w:hanging="288"/>
      </w:pPr>
      <w:rPr>
        <w:rFonts w:asciiTheme="minorHAnsi" w:hAnsiTheme="minorHAnsi" w:hint="default"/>
        <w:color w:val="auto"/>
      </w:rPr>
    </w:lvl>
    <w:lvl w:ilvl="7">
      <w:start w:val="1"/>
      <w:numFmt w:val="bullet"/>
      <w:lvlText w:val="▫"/>
      <w:lvlJc w:val="left"/>
      <w:pPr>
        <w:ind w:left="2304" w:hanging="288"/>
      </w:pPr>
      <w:rPr>
        <w:rFonts w:asciiTheme="minorHAnsi" w:hAnsiTheme="minorHAnsi" w:hint="default"/>
      </w:rPr>
    </w:lvl>
    <w:lvl w:ilvl="8">
      <w:start w:val="1"/>
      <w:numFmt w:val="bullet"/>
      <w:lvlText w:val="▪"/>
      <w:lvlJc w:val="left"/>
      <w:pPr>
        <w:ind w:left="2592" w:hanging="288"/>
      </w:pPr>
      <w:rPr>
        <w:rFonts w:ascii="Calibri" w:hAnsi="Calibri" w:hint="default"/>
      </w:rPr>
    </w:lvl>
  </w:abstractNum>
  <w:abstractNum w:abstractNumId="27" w15:restartNumberingAfterBreak="0">
    <w:nsid w:val="66F230FE"/>
    <w:multiLevelType w:val="multilevel"/>
    <w:tmpl w:val="6256E4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A8702FB"/>
    <w:multiLevelType w:val="hybridMultilevel"/>
    <w:tmpl w:val="AD307994"/>
    <w:lvl w:ilvl="0" w:tplc="79844704">
      <w:start w:val="1"/>
      <w:numFmt w:val="bullet"/>
      <w:lvlText w:val=""/>
      <w:lvlJc w:val="left"/>
      <w:pPr>
        <w:ind w:left="1584" w:hanging="360"/>
      </w:pPr>
      <w:rPr>
        <w:rFonts w:ascii="Wingdings" w:hAnsi="Wingdings" w:hint="default"/>
      </w:rPr>
    </w:lvl>
    <w:lvl w:ilvl="1" w:tplc="04090003">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9" w15:restartNumberingAfterBreak="0">
    <w:nsid w:val="6F7E016C"/>
    <w:multiLevelType w:val="multilevel"/>
    <w:tmpl w:val="93D00F9A"/>
    <w:lvl w:ilvl="0">
      <w:start w:val="1"/>
      <w:numFmt w:val="decimal"/>
      <w:lvlText w:val="%1."/>
      <w:lvlJc w:val="left"/>
      <w:pPr>
        <w:tabs>
          <w:tab w:val="num" w:pos="288"/>
        </w:tabs>
        <w:ind w:left="288" w:hanging="288"/>
      </w:pPr>
      <w:rPr>
        <w:rFonts w:hint="default"/>
      </w:rPr>
    </w:lvl>
    <w:lvl w:ilvl="1">
      <w:start w:val="1"/>
      <w:numFmt w:val="decimal"/>
      <w:lvlText w:val="%1.%2."/>
      <w:lvlJc w:val="left"/>
      <w:pPr>
        <w:tabs>
          <w:tab w:val="num" w:pos="576"/>
        </w:tabs>
        <w:ind w:left="576" w:hanging="288"/>
      </w:pPr>
      <w:rPr>
        <w:rFonts w:hint="default"/>
      </w:rPr>
    </w:lvl>
    <w:lvl w:ilvl="2">
      <w:start w:val="1"/>
      <w:numFmt w:val="decimal"/>
      <w:lvlText w:val="%1.%2.%3."/>
      <w:lvlJc w:val="left"/>
      <w:pPr>
        <w:ind w:left="864" w:hanging="288"/>
      </w:pPr>
      <w:rPr>
        <w:rFonts w:hint="default"/>
      </w:rPr>
    </w:lvl>
    <w:lvl w:ilvl="3">
      <w:start w:val="1"/>
      <w:numFmt w:val="decimal"/>
      <w:lvlText w:val="%1.%2.%3.%4."/>
      <w:lvlJc w:val="left"/>
      <w:pPr>
        <w:tabs>
          <w:tab w:val="num" w:pos="1152"/>
        </w:tabs>
        <w:ind w:left="1152" w:hanging="288"/>
      </w:pPr>
      <w:rPr>
        <w:rFonts w:hint="default"/>
      </w:rPr>
    </w:lvl>
    <w:lvl w:ilvl="4">
      <w:start w:val="1"/>
      <w:numFmt w:val="decimal"/>
      <w:lvlText w:val="%1.%2.%3.%4.%5."/>
      <w:lvlJc w:val="left"/>
      <w:pPr>
        <w:tabs>
          <w:tab w:val="num" w:pos="1440"/>
        </w:tabs>
        <w:ind w:left="1440" w:hanging="288"/>
      </w:pPr>
      <w:rPr>
        <w:rFonts w:hint="default"/>
      </w:rPr>
    </w:lvl>
    <w:lvl w:ilvl="5">
      <w:start w:val="1"/>
      <w:numFmt w:val="decimal"/>
      <w:lvlText w:val="%1.%2.%3.%4.%5.%6."/>
      <w:lvlJc w:val="left"/>
      <w:pPr>
        <w:tabs>
          <w:tab w:val="num" w:pos="1728"/>
        </w:tabs>
        <w:ind w:left="1728" w:hanging="288"/>
      </w:pPr>
      <w:rPr>
        <w:rFonts w:hint="default"/>
      </w:rPr>
    </w:lvl>
    <w:lvl w:ilvl="6">
      <w:start w:val="1"/>
      <w:numFmt w:val="decimal"/>
      <w:lvlText w:val="%1.%2.%3.%4.%5.%6.%7."/>
      <w:lvlJc w:val="left"/>
      <w:pPr>
        <w:tabs>
          <w:tab w:val="num" w:pos="2016"/>
        </w:tabs>
        <w:ind w:left="2016" w:hanging="288"/>
      </w:pPr>
      <w:rPr>
        <w:rFonts w:hint="default"/>
      </w:rPr>
    </w:lvl>
    <w:lvl w:ilvl="7">
      <w:start w:val="1"/>
      <w:numFmt w:val="decimal"/>
      <w:suff w:val="nothing"/>
      <w:lvlText w:val="%1.%2.%3.%4.%5.%6.%7.%8."/>
      <w:lvlJc w:val="left"/>
      <w:pPr>
        <w:ind w:left="2304" w:hanging="288"/>
      </w:pPr>
      <w:rPr>
        <w:rFonts w:hint="default"/>
      </w:rPr>
    </w:lvl>
    <w:lvl w:ilvl="8">
      <w:start w:val="1"/>
      <w:numFmt w:val="decimal"/>
      <w:suff w:val="nothing"/>
      <w:lvlText w:val="%1.%2.%3.%4.%5.%6.%7.%8.%9."/>
      <w:lvlJc w:val="left"/>
      <w:pPr>
        <w:ind w:left="2592" w:hanging="288"/>
      </w:pPr>
      <w:rPr>
        <w:rFonts w:hint="default"/>
      </w:rPr>
    </w:lvl>
  </w:abstractNum>
  <w:abstractNum w:abstractNumId="30" w15:restartNumberingAfterBreak="0">
    <w:nsid w:val="704428B8"/>
    <w:multiLevelType w:val="multilevel"/>
    <w:tmpl w:val="A64C5254"/>
    <w:lvl w:ilvl="0">
      <w:start w:val="1"/>
      <w:numFmt w:val="decimal"/>
      <w:pStyle w:val="301MajorH1"/>
      <w:lvlText w:val="%1"/>
      <w:lvlJc w:val="left"/>
      <w:pPr>
        <w:ind w:left="432" w:hanging="432"/>
      </w:pPr>
      <w:rPr>
        <w:rFonts w:hint="default"/>
      </w:rPr>
    </w:lvl>
    <w:lvl w:ilvl="1">
      <w:start w:val="1"/>
      <w:numFmt w:val="decimal"/>
      <w:pStyle w:val="302MinH2"/>
      <w:lvlText w:val="%1.%2"/>
      <w:lvlJc w:val="left"/>
      <w:pPr>
        <w:ind w:left="576" w:hanging="576"/>
      </w:pPr>
      <w:rPr>
        <w:rFonts w:hint="default"/>
      </w:rPr>
    </w:lvl>
    <w:lvl w:ilvl="2">
      <w:start w:val="1"/>
      <w:numFmt w:val="decimal"/>
      <w:pStyle w:val="303Sub1H3"/>
      <w:lvlText w:val="%1.%2.%3"/>
      <w:lvlJc w:val="left"/>
      <w:pPr>
        <w:ind w:left="720" w:hanging="720"/>
      </w:pPr>
      <w:rPr>
        <w:rFonts w:hint="default"/>
      </w:rPr>
    </w:lvl>
    <w:lvl w:ilvl="3">
      <w:start w:val="1"/>
      <w:numFmt w:val="decimal"/>
      <w:pStyle w:val="304Sub2H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662618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7E27D92"/>
    <w:multiLevelType w:val="multilevel"/>
    <w:tmpl w:val="9AAADD26"/>
    <w:lvl w:ilvl="0">
      <w:start w:val="1"/>
      <w:numFmt w:val="bullet"/>
      <w:lvlText w:val="—"/>
      <w:lvlJc w:val="left"/>
      <w:pPr>
        <w:ind w:left="432" w:hanging="432"/>
      </w:pPr>
      <w:rPr>
        <w:rFonts w:ascii="Theinhardt Light" w:hAnsi="Theinhardt Light" w:hint="default"/>
      </w:rPr>
    </w:lvl>
    <w:lvl w:ilvl="1">
      <w:start w:val="1"/>
      <w:numFmt w:val="bullet"/>
      <w:lvlText w:val="•"/>
      <w:lvlJc w:val="left"/>
      <w:pPr>
        <w:ind w:left="864" w:hanging="432"/>
      </w:pPr>
      <w:rPr>
        <w:rFonts w:ascii="Theinhardt Light" w:hAnsi="Theinhardt Light" w:hint="default"/>
        <w:color w:val="auto"/>
      </w:rPr>
    </w:lvl>
    <w:lvl w:ilvl="2">
      <w:start w:val="1"/>
      <w:numFmt w:val="bullet"/>
      <w:lvlText w:val="›"/>
      <w:lvlJc w:val="left"/>
      <w:pPr>
        <w:ind w:left="1296" w:hanging="432"/>
      </w:pPr>
      <w:rPr>
        <w:rFonts w:ascii="Theinhardt Light" w:hAnsi="Theinhardt Light" w:hint="default"/>
        <w:color w:val="002960"/>
      </w:rPr>
    </w:lvl>
    <w:lvl w:ilvl="3">
      <w:start w:val="1"/>
      <w:numFmt w:val="bullet"/>
      <w:lvlText w:val="»"/>
      <w:lvlJc w:val="left"/>
      <w:pPr>
        <w:ind w:left="1728" w:hanging="432"/>
      </w:pPr>
      <w:rPr>
        <w:rFonts w:ascii="Theinhardt Light" w:hAnsi="Theinhardt Light" w:hint="default"/>
      </w:rPr>
    </w:lvl>
    <w:lvl w:ilvl="4">
      <w:start w:val="1"/>
      <w:numFmt w:val="bullet"/>
      <w:lvlText w:val="▫"/>
      <w:lvlJc w:val="left"/>
      <w:pPr>
        <w:ind w:left="2160" w:hanging="432"/>
      </w:pPr>
      <w:rPr>
        <w:rFonts w:ascii="Arial" w:hAnsi="Arial" w:hint="default"/>
      </w:rPr>
    </w:lvl>
    <w:lvl w:ilvl="5">
      <w:start w:val="1"/>
      <w:numFmt w:val="bullet"/>
      <w:lvlText w:val="–"/>
      <w:lvlJc w:val="left"/>
      <w:pPr>
        <w:ind w:left="2592" w:hanging="432"/>
      </w:pPr>
      <w:rPr>
        <w:rFonts w:ascii="Segoe UI" w:hAnsi="Segoe UI" w:hint="default"/>
      </w:rPr>
    </w:lvl>
    <w:lvl w:ilvl="6">
      <w:start w:val="1"/>
      <w:numFmt w:val="bullet"/>
      <w:lvlText w:val="◦"/>
      <w:lvlJc w:val="left"/>
      <w:pPr>
        <w:ind w:left="3024" w:hanging="432"/>
      </w:pPr>
      <w:rPr>
        <w:rFonts w:ascii="Arial" w:hAnsi="Arial" w:hint="default"/>
      </w:rPr>
    </w:lvl>
    <w:lvl w:ilvl="7">
      <w:start w:val="1"/>
      <w:numFmt w:val="bullet"/>
      <w:lvlText w:val="▪"/>
      <w:lvlJc w:val="left"/>
      <w:pPr>
        <w:ind w:left="3456" w:hanging="432"/>
      </w:pPr>
      <w:rPr>
        <w:rFonts w:ascii="Calibri" w:hAnsi="Calibri" w:hint="default"/>
      </w:rPr>
    </w:lvl>
    <w:lvl w:ilvl="8">
      <w:start w:val="1"/>
      <w:numFmt w:val="bullet"/>
      <w:lvlText w:val="▪"/>
      <w:lvlJc w:val="left"/>
      <w:pPr>
        <w:ind w:left="3888" w:hanging="432"/>
      </w:pPr>
      <w:rPr>
        <w:rFonts w:ascii="Calibri" w:hAnsi="Calibri" w:hint="default"/>
      </w:rPr>
    </w:lvl>
  </w:abstractNum>
  <w:abstractNum w:abstractNumId="33" w15:restartNumberingAfterBreak="0">
    <w:nsid w:val="77EE2944"/>
    <w:multiLevelType w:val="hybridMultilevel"/>
    <w:tmpl w:val="CD561768"/>
    <w:lvl w:ilvl="0" w:tplc="49DC0304">
      <w:start w:val="1"/>
      <w:numFmt w:val="lowerLetter"/>
      <w:lvlText w:val="%1)"/>
      <w:lvlJc w:val="left"/>
      <w:pPr>
        <w:ind w:left="1644" w:hanging="360"/>
      </w:pPr>
      <w:rPr>
        <w:rFonts w:ascii="Arial" w:hAnsi="Arial" w:hint="default"/>
        <w:color w:val="002960"/>
        <w:sz w:val="22"/>
      </w:rPr>
    </w:lvl>
    <w:lvl w:ilvl="1" w:tplc="04090019" w:tentative="1">
      <w:start w:val="1"/>
      <w:numFmt w:val="lowerLetter"/>
      <w:lvlText w:val="%2."/>
      <w:lvlJc w:val="left"/>
      <w:pPr>
        <w:ind w:left="2364" w:hanging="360"/>
      </w:pPr>
    </w:lvl>
    <w:lvl w:ilvl="2" w:tplc="0409001B" w:tentative="1">
      <w:start w:val="1"/>
      <w:numFmt w:val="lowerRoman"/>
      <w:lvlText w:val="%3."/>
      <w:lvlJc w:val="right"/>
      <w:pPr>
        <w:ind w:left="3084" w:hanging="180"/>
      </w:pPr>
    </w:lvl>
    <w:lvl w:ilvl="3" w:tplc="0409000F" w:tentative="1">
      <w:start w:val="1"/>
      <w:numFmt w:val="decimal"/>
      <w:lvlText w:val="%4."/>
      <w:lvlJc w:val="left"/>
      <w:pPr>
        <w:ind w:left="3804" w:hanging="360"/>
      </w:pPr>
    </w:lvl>
    <w:lvl w:ilvl="4" w:tplc="04090019" w:tentative="1">
      <w:start w:val="1"/>
      <w:numFmt w:val="lowerLetter"/>
      <w:lvlText w:val="%5."/>
      <w:lvlJc w:val="left"/>
      <w:pPr>
        <w:ind w:left="4524" w:hanging="360"/>
      </w:pPr>
    </w:lvl>
    <w:lvl w:ilvl="5" w:tplc="0409001B" w:tentative="1">
      <w:start w:val="1"/>
      <w:numFmt w:val="lowerRoman"/>
      <w:lvlText w:val="%6."/>
      <w:lvlJc w:val="right"/>
      <w:pPr>
        <w:ind w:left="5244" w:hanging="180"/>
      </w:pPr>
    </w:lvl>
    <w:lvl w:ilvl="6" w:tplc="0409000F" w:tentative="1">
      <w:start w:val="1"/>
      <w:numFmt w:val="decimal"/>
      <w:lvlText w:val="%7."/>
      <w:lvlJc w:val="left"/>
      <w:pPr>
        <w:ind w:left="5964" w:hanging="360"/>
      </w:pPr>
    </w:lvl>
    <w:lvl w:ilvl="7" w:tplc="04090019" w:tentative="1">
      <w:start w:val="1"/>
      <w:numFmt w:val="lowerLetter"/>
      <w:lvlText w:val="%8."/>
      <w:lvlJc w:val="left"/>
      <w:pPr>
        <w:ind w:left="6684" w:hanging="360"/>
      </w:pPr>
    </w:lvl>
    <w:lvl w:ilvl="8" w:tplc="0409001B" w:tentative="1">
      <w:start w:val="1"/>
      <w:numFmt w:val="lowerRoman"/>
      <w:lvlText w:val="%9."/>
      <w:lvlJc w:val="right"/>
      <w:pPr>
        <w:ind w:left="7404" w:hanging="180"/>
      </w:p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6"/>
  </w:num>
  <w:num w:numId="13">
    <w:abstractNumId w:val="18"/>
  </w:num>
  <w:num w:numId="14">
    <w:abstractNumId w:val="14"/>
  </w:num>
  <w:num w:numId="15">
    <w:abstractNumId w:val="26"/>
  </w:num>
  <w:num w:numId="16">
    <w:abstractNumId w:val="25"/>
  </w:num>
  <w:num w:numId="17">
    <w:abstractNumId w:val="19"/>
  </w:num>
  <w:num w:numId="18">
    <w:abstractNumId w:val="29"/>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31"/>
  </w:num>
  <w:num w:numId="24">
    <w:abstractNumId w:val="30"/>
  </w:num>
  <w:num w:numId="25">
    <w:abstractNumId w:val="11"/>
  </w:num>
  <w:num w:numId="26">
    <w:abstractNumId w:val="10"/>
  </w:num>
  <w:num w:numId="27">
    <w:abstractNumId w:val="21"/>
  </w:num>
  <w:num w:numId="28">
    <w:abstractNumId w:val="28"/>
  </w:num>
  <w:num w:numId="29">
    <w:abstractNumId w:val="33"/>
  </w:num>
  <w:num w:numId="30">
    <w:abstractNumId w:val="27"/>
  </w:num>
  <w:num w:numId="31">
    <w:abstractNumId w:val="17"/>
  </w:num>
  <w:num w:numId="32">
    <w:abstractNumId w:val="30"/>
    <w:lvlOverride w:ilvl="0">
      <w:lvl w:ilvl="0">
        <w:start w:val="1"/>
        <w:numFmt w:val="decimal"/>
        <w:pStyle w:val="301MajorH1"/>
        <w:lvlText w:val="%1."/>
        <w:lvlJc w:val="left"/>
        <w:pPr>
          <w:ind w:left="720" w:hanging="720"/>
        </w:pPr>
        <w:rPr>
          <w:rFonts w:hint="default"/>
        </w:rPr>
      </w:lvl>
    </w:lvlOverride>
    <w:lvlOverride w:ilvl="1">
      <w:lvl w:ilvl="1">
        <w:start w:val="1"/>
        <w:numFmt w:val="decimal"/>
        <w:pStyle w:val="302MinH2"/>
        <w:lvlText w:val="%1.%2."/>
        <w:lvlJc w:val="left"/>
        <w:pPr>
          <w:ind w:left="720" w:hanging="720"/>
        </w:pPr>
        <w:rPr>
          <w:rFonts w:hint="default"/>
        </w:rPr>
      </w:lvl>
    </w:lvlOverride>
    <w:lvlOverride w:ilvl="2">
      <w:lvl w:ilvl="2">
        <w:start w:val="1"/>
        <w:numFmt w:val="decimal"/>
        <w:pStyle w:val="303Sub1H3"/>
        <w:lvlText w:val="%1.%2.%3."/>
        <w:lvlJc w:val="left"/>
        <w:pPr>
          <w:ind w:left="1008" w:hanging="1008"/>
        </w:pPr>
        <w:rPr>
          <w:rFonts w:hint="default"/>
        </w:rPr>
      </w:lvl>
    </w:lvlOverride>
    <w:lvlOverride w:ilvl="3">
      <w:lvl w:ilvl="3">
        <w:start w:val="1"/>
        <w:numFmt w:val="decimal"/>
        <w:pStyle w:val="304Sub2H4"/>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30"/>
    <w:lvlOverride w:ilvl="0">
      <w:lvl w:ilvl="0">
        <w:start w:val="1"/>
        <w:numFmt w:val="decimal"/>
        <w:pStyle w:val="301MajorH1"/>
        <w:lvlText w:val="%1."/>
        <w:lvlJc w:val="left"/>
        <w:pPr>
          <w:ind w:left="432" w:hanging="432"/>
        </w:pPr>
        <w:rPr>
          <w:rFonts w:hint="default"/>
        </w:rPr>
      </w:lvl>
    </w:lvlOverride>
    <w:lvlOverride w:ilvl="1">
      <w:lvl w:ilvl="1">
        <w:start w:val="1"/>
        <w:numFmt w:val="decimal"/>
        <w:pStyle w:val="302MinH2"/>
        <w:lvlText w:val="%1.%2."/>
        <w:lvlJc w:val="left"/>
        <w:pPr>
          <w:ind w:left="864" w:hanging="864"/>
        </w:pPr>
        <w:rPr>
          <w:rFonts w:hint="default"/>
        </w:rPr>
      </w:lvl>
    </w:lvlOverride>
    <w:lvlOverride w:ilvl="2">
      <w:lvl w:ilvl="2">
        <w:start w:val="1"/>
        <w:numFmt w:val="decimal"/>
        <w:pStyle w:val="303Sub1H3"/>
        <w:lvlText w:val="%1.%2.%3."/>
        <w:lvlJc w:val="left"/>
        <w:pPr>
          <w:ind w:left="1008" w:hanging="1008"/>
        </w:pPr>
        <w:rPr>
          <w:rFonts w:hint="default"/>
        </w:rPr>
      </w:lvl>
    </w:lvlOverride>
    <w:lvlOverride w:ilvl="3">
      <w:lvl w:ilvl="3">
        <w:start w:val="1"/>
        <w:numFmt w:val="decimal"/>
        <w:pStyle w:val="304Sub2H4"/>
        <w:lvlText w:val="%1.%2.%3.%4."/>
        <w:lvlJc w:val="left"/>
        <w:pPr>
          <w:ind w:left="1728" w:hanging="172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30"/>
    <w:lvlOverride w:ilvl="0">
      <w:lvl w:ilvl="0">
        <w:start w:val="1"/>
        <w:numFmt w:val="decimal"/>
        <w:pStyle w:val="301MajorH1"/>
        <w:lvlText w:val="%1."/>
        <w:lvlJc w:val="left"/>
        <w:pPr>
          <w:ind w:left="432" w:hanging="432"/>
        </w:pPr>
        <w:rPr>
          <w:rFonts w:hint="default"/>
        </w:rPr>
      </w:lvl>
    </w:lvlOverride>
    <w:lvlOverride w:ilvl="1">
      <w:lvl w:ilvl="1">
        <w:start w:val="1"/>
        <w:numFmt w:val="decimal"/>
        <w:pStyle w:val="302MinH2"/>
        <w:lvlText w:val="%1.%2."/>
        <w:lvlJc w:val="left"/>
        <w:pPr>
          <w:ind w:left="864" w:hanging="864"/>
        </w:pPr>
        <w:rPr>
          <w:rFonts w:hint="default"/>
        </w:rPr>
      </w:lvl>
    </w:lvlOverride>
    <w:lvlOverride w:ilvl="2">
      <w:lvl w:ilvl="2">
        <w:start w:val="1"/>
        <w:numFmt w:val="decimal"/>
        <w:pStyle w:val="303Sub1H3"/>
        <w:lvlText w:val="%1.%2.%3."/>
        <w:lvlJc w:val="left"/>
        <w:pPr>
          <w:ind w:left="1008" w:hanging="1008"/>
        </w:pPr>
        <w:rPr>
          <w:rFonts w:hint="default"/>
        </w:rPr>
      </w:lvl>
    </w:lvlOverride>
    <w:lvlOverride w:ilvl="3">
      <w:lvl w:ilvl="3">
        <w:start w:val="1"/>
        <w:numFmt w:val="decimal"/>
        <w:pStyle w:val="304Sub2H4"/>
        <w:lvlText w:val="%1.%2.%3.%4."/>
        <w:lvlJc w:val="left"/>
        <w:pPr>
          <w:ind w:left="1440" w:hanging="144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abstractNumId w:val="30"/>
    <w:lvlOverride w:ilvl="0">
      <w:lvl w:ilvl="0">
        <w:start w:val="1"/>
        <w:numFmt w:val="decimal"/>
        <w:pStyle w:val="301MajorH1"/>
        <w:lvlText w:val="%1."/>
        <w:lvlJc w:val="left"/>
        <w:pPr>
          <w:ind w:left="432" w:hanging="432"/>
        </w:pPr>
        <w:rPr>
          <w:rFonts w:hint="default"/>
        </w:rPr>
      </w:lvl>
    </w:lvlOverride>
    <w:lvlOverride w:ilvl="1">
      <w:lvl w:ilvl="1">
        <w:start w:val="1"/>
        <w:numFmt w:val="decimal"/>
        <w:pStyle w:val="302MinH2"/>
        <w:lvlText w:val="%1.%2."/>
        <w:lvlJc w:val="left"/>
        <w:pPr>
          <w:ind w:left="864" w:hanging="864"/>
        </w:pPr>
        <w:rPr>
          <w:rFonts w:hint="default"/>
        </w:rPr>
      </w:lvl>
    </w:lvlOverride>
    <w:lvlOverride w:ilvl="2">
      <w:lvl w:ilvl="2">
        <w:start w:val="1"/>
        <w:numFmt w:val="decimal"/>
        <w:pStyle w:val="303Sub1H3"/>
        <w:lvlText w:val="%1.%2.%3."/>
        <w:lvlJc w:val="left"/>
        <w:pPr>
          <w:ind w:left="1008" w:hanging="1008"/>
        </w:pPr>
        <w:rPr>
          <w:rFonts w:hint="default"/>
        </w:rPr>
      </w:lvl>
    </w:lvlOverride>
    <w:lvlOverride w:ilvl="3">
      <w:lvl w:ilvl="3">
        <w:start w:val="1"/>
        <w:numFmt w:val="decimal"/>
        <w:pStyle w:val="304Sub2H4"/>
        <w:lvlText w:val="%1.%2.%3.%4."/>
        <w:lvlJc w:val="left"/>
        <w:pPr>
          <w:ind w:left="1080" w:hanging="1080"/>
        </w:pPr>
        <w:rPr>
          <w:rFonts w:hint="default"/>
        </w:rPr>
      </w:lvl>
    </w:lvlOverride>
    <w:lvlOverride w:ilvl="4">
      <w:lvl w:ilvl="4">
        <w:start w:val="1"/>
        <w:numFmt w:val="decimal"/>
        <w:lvlText w:val="%1.%2.%3.%4.%5."/>
        <w:lvlJc w:val="left"/>
        <w:pPr>
          <w:ind w:left="1224" w:hanging="1224"/>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88"/>
    </w:lvlOverride>
    <w:lvlOverride w:ilvl="1">
      <w:startOverride w:val="10"/>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lvl w:ilvl="0">
        <w:start w:val="88"/>
        <w:numFmt w:val="decimal"/>
        <w:pStyle w:val="301MajorH1"/>
        <w:lvlText w:val="%1."/>
        <w:lvlJc w:val="left"/>
        <w:pPr>
          <w:ind w:left="432" w:hanging="432"/>
        </w:pPr>
        <w:rPr>
          <w:rFonts w:hint="default"/>
        </w:rPr>
      </w:lvl>
    </w:lvlOverride>
    <w:lvlOverride w:ilvl="1">
      <w:lvl w:ilvl="1">
        <w:start w:val="10"/>
        <w:numFmt w:val="decimal"/>
        <w:pStyle w:val="302MinH2"/>
        <w:lvlText w:val="%1.%2."/>
        <w:lvlJc w:val="left"/>
        <w:pPr>
          <w:tabs>
            <w:tab w:val="num" w:pos="432"/>
          </w:tabs>
          <w:ind w:left="720" w:hanging="720"/>
        </w:pPr>
        <w:rPr>
          <w:rFonts w:hint="default"/>
        </w:rPr>
      </w:lvl>
    </w:lvlOverride>
    <w:lvlOverride w:ilvl="2">
      <w:lvl w:ilvl="2">
        <w:start w:val="10"/>
        <w:numFmt w:val="decimal"/>
        <w:pStyle w:val="303Sub1H3"/>
        <w:lvlText w:val="%1.%2.%3."/>
        <w:lvlJc w:val="left"/>
        <w:pPr>
          <w:tabs>
            <w:tab w:val="num" w:pos="1440"/>
          </w:tabs>
          <w:ind w:left="1152" w:hanging="1152"/>
        </w:pPr>
        <w:rPr>
          <w:rFonts w:hint="default"/>
        </w:rPr>
      </w:lvl>
    </w:lvlOverride>
    <w:lvlOverride w:ilvl="3">
      <w:lvl w:ilvl="3">
        <w:start w:val="1"/>
        <w:numFmt w:val="decimal"/>
        <w:pStyle w:val="304Sub2H4"/>
        <w:lvlText w:val="%1.%2.%3.%4."/>
        <w:lvlJc w:val="left"/>
        <w:pPr>
          <w:tabs>
            <w:tab w:val="num" w:pos="432"/>
          </w:tabs>
          <w:ind w:left="1296" w:hanging="1296"/>
        </w:pPr>
        <w:rPr>
          <w:rFonts w:hint="default"/>
        </w:rPr>
      </w:lvl>
    </w:lvlOverride>
    <w:lvlOverride w:ilvl="4">
      <w:lvl w:ilvl="4">
        <w:start w:val="1"/>
        <w:numFmt w:val="decimal"/>
        <w:lvlText w:val="%1.%2.%3.%4.%5."/>
        <w:lvlJc w:val="left"/>
        <w:pPr>
          <w:ind w:left="1584" w:hanging="1584"/>
        </w:pPr>
        <w:rPr>
          <w:rFonts w:hint="default"/>
        </w:rPr>
      </w:lvl>
    </w:lvlOverride>
    <w:lvlOverride w:ilvl="5">
      <w:lvl w:ilvl="5">
        <w:start w:val="1"/>
        <w:numFmt w:val="decimal"/>
        <w:lvlText w:val="%1.%2.%3.%4.%5.%6."/>
        <w:lvlJc w:val="left"/>
        <w:pPr>
          <w:ind w:left="432" w:hanging="432"/>
        </w:pPr>
        <w:rPr>
          <w:rFonts w:hint="default"/>
        </w:rPr>
      </w:lvl>
    </w:lvlOverride>
    <w:lvlOverride w:ilvl="6">
      <w:lvl w:ilvl="6">
        <w:start w:val="1"/>
        <w:numFmt w:val="decimal"/>
        <w:lvlText w:val="%1.%2.%3.%4.%5.%6.%7."/>
        <w:lvlJc w:val="left"/>
        <w:pPr>
          <w:ind w:left="432" w:hanging="432"/>
        </w:pPr>
        <w:rPr>
          <w:rFonts w:hint="default"/>
        </w:rPr>
      </w:lvl>
    </w:lvlOverride>
    <w:lvlOverride w:ilvl="7">
      <w:lvl w:ilvl="7">
        <w:start w:val="1"/>
        <w:numFmt w:val="decimal"/>
        <w:lvlText w:val="%1.%2.%3.%4.%5.%6.%7.%8."/>
        <w:lvlJc w:val="left"/>
        <w:pPr>
          <w:ind w:left="432" w:hanging="432"/>
        </w:pPr>
        <w:rPr>
          <w:rFonts w:hint="default"/>
        </w:rPr>
      </w:lvl>
    </w:lvlOverride>
    <w:lvlOverride w:ilvl="8">
      <w:lvl w:ilvl="8">
        <w:start w:val="1"/>
        <w:numFmt w:val="decimal"/>
        <w:lvlText w:val="%1.%2.%3.%4.%5.%6.%7.%8.%9."/>
        <w:lvlJc w:val="left"/>
        <w:pPr>
          <w:ind w:left="432" w:hanging="432"/>
        </w:pPr>
        <w:rPr>
          <w:rFonts w:hint="default"/>
        </w:rPr>
      </w:lvl>
    </w:lvlOverride>
  </w:num>
  <w:num w:numId="39">
    <w:abstractNumId w:val="30"/>
    <w:lvlOverride w:ilvl="0">
      <w:startOverride w:val="88"/>
      <w:lvl w:ilvl="0">
        <w:start w:val="88"/>
        <w:numFmt w:val="decimal"/>
        <w:pStyle w:val="301MajorH1"/>
        <w:lvlText w:val="%1."/>
        <w:lvlJc w:val="left"/>
        <w:pPr>
          <w:ind w:left="432" w:hanging="432"/>
        </w:pPr>
        <w:rPr>
          <w:rFonts w:hint="default"/>
        </w:rPr>
      </w:lvl>
    </w:lvlOverride>
    <w:lvlOverride w:ilvl="1">
      <w:startOverride w:val="12"/>
      <w:lvl w:ilvl="1">
        <w:start w:val="12"/>
        <w:numFmt w:val="decimal"/>
        <w:pStyle w:val="302MinH2"/>
        <w:lvlText w:val="%1.%2."/>
        <w:lvlJc w:val="left"/>
        <w:pPr>
          <w:tabs>
            <w:tab w:val="num" w:pos="432"/>
          </w:tabs>
          <w:ind w:left="720" w:hanging="720"/>
        </w:pPr>
        <w:rPr>
          <w:rFonts w:hint="default"/>
        </w:rPr>
      </w:lvl>
    </w:lvlOverride>
    <w:lvlOverride w:ilvl="2">
      <w:startOverride w:val="18"/>
      <w:lvl w:ilvl="2">
        <w:start w:val="18"/>
        <w:numFmt w:val="decimal"/>
        <w:pStyle w:val="303Sub1H3"/>
        <w:lvlText w:val="%1.%2.%3."/>
        <w:lvlJc w:val="left"/>
        <w:pPr>
          <w:tabs>
            <w:tab w:val="num" w:pos="1440"/>
          </w:tabs>
          <w:ind w:left="1152" w:hanging="1152"/>
        </w:pPr>
        <w:rPr>
          <w:rFonts w:hint="default"/>
        </w:rPr>
      </w:lvl>
    </w:lvlOverride>
    <w:lvlOverride w:ilvl="3">
      <w:startOverride w:val="1"/>
      <w:lvl w:ilvl="3">
        <w:start w:val="1"/>
        <w:numFmt w:val="decimal"/>
        <w:pStyle w:val="304Sub2H4"/>
        <w:lvlText w:val="%1.%2.%3.%4."/>
        <w:lvlJc w:val="left"/>
        <w:pPr>
          <w:tabs>
            <w:tab w:val="num" w:pos="432"/>
          </w:tabs>
          <w:ind w:left="1296" w:hanging="1296"/>
        </w:pPr>
        <w:rPr>
          <w:rFonts w:hint="default"/>
        </w:rPr>
      </w:lvl>
    </w:lvlOverride>
    <w:lvlOverride w:ilvl="4">
      <w:startOverride w:val="1"/>
      <w:lvl w:ilvl="4">
        <w:start w:val="1"/>
        <w:numFmt w:val="decimal"/>
        <w:lvlText w:val="%1.%2.%3.%4.%5."/>
        <w:lvlJc w:val="left"/>
        <w:pPr>
          <w:ind w:left="1584" w:hanging="1584"/>
        </w:pPr>
        <w:rPr>
          <w:rFonts w:hint="default"/>
        </w:rPr>
      </w:lvl>
    </w:lvlOverride>
    <w:lvlOverride w:ilvl="5">
      <w:startOverride w:val="1"/>
      <w:lvl w:ilvl="5">
        <w:start w:val="1"/>
        <w:numFmt w:val="decimal"/>
        <w:lvlText w:val="%1.%2.%3.%4.%5.%6."/>
        <w:lvlJc w:val="left"/>
        <w:pPr>
          <w:ind w:left="432" w:hanging="432"/>
        </w:pPr>
        <w:rPr>
          <w:rFonts w:hint="default"/>
        </w:rPr>
      </w:lvl>
    </w:lvlOverride>
    <w:lvlOverride w:ilvl="6">
      <w:startOverride w:val="1"/>
      <w:lvl w:ilvl="6">
        <w:start w:val="1"/>
        <w:numFmt w:val="decimal"/>
        <w:lvlText w:val="%1.%2.%3.%4.%5.%6.%7."/>
        <w:lvlJc w:val="left"/>
        <w:pPr>
          <w:ind w:left="432" w:hanging="432"/>
        </w:pPr>
        <w:rPr>
          <w:rFonts w:hint="default"/>
        </w:rPr>
      </w:lvl>
    </w:lvlOverride>
    <w:lvlOverride w:ilvl="7">
      <w:startOverride w:val="1"/>
      <w:lvl w:ilvl="7">
        <w:start w:val="1"/>
        <w:numFmt w:val="decimal"/>
        <w:lvlText w:val="%1.%2.%3.%4.%5.%6.%7.%8."/>
        <w:lvlJc w:val="left"/>
        <w:pPr>
          <w:ind w:left="432" w:hanging="432"/>
        </w:pPr>
        <w:rPr>
          <w:rFonts w:hint="default"/>
        </w:rPr>
      </w:lvl>
    </w:lvlOverride>
    <w:lvlOverride w:ilvl="8">
      <w:startOverride w:val="1"/>
      <w:lvl w:ilvl="8">
        <w:start w:val="1"/>
        <w:numFmt w:val="decimal"/>
        <w:lvlText w:val="%1.%2.%3.%4.%5.%6.%7.%8.%9."/>
        <w:lvlJc w:val="left"/>
        <w:pPr>
          <w:ind w:left="432" w:hanging="432"/>
        </w:pPr>
        <w:rPr>
          <w:rFonts w:hint="default"/>
        </w:rPr>
      </w:lvl>
    </w:lvlOverride>
  </w:num>
  <w:num w:numId="40">
    <w:abstractNumId w:val="30"/>
    <w:lvlOverride w:ilvl="0">
      <w:startOverride w:val="88"/>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13"/>
  </w:num>
  <w:num w:numId="43">
    <w:abstractNumId w:val="22"/>
  </w:num>
  <w:num w:numId="44">
    <w:abstractNumId w:val="20"/>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embedTrueTypeFonts/>
  <w:saveSubset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umentCategory" w:val="BasicFormat"/>
    <w:docVar w:name="DocumentType" w:val="BasicFormat"/>
  </w:docVars>
  <w:rsids>
    <w:rsidRoot w:val="00BE28F6"/>
    <w:rsid w:val="00031D55"/>
    <w:rsid w:val="000376FE"/>
    <w:rsid w:val="00046D33"/>
    <w:rsid w:val="00054C28"/>
    <w:rsid w:val="000623A9"/>
    <w:rsid w:val="00072719"/>
    <w:rsid w:val="00095E53"/>
    <w:rsid w:val="000A67FB"/>
    <w:rsid w:val="00143159"/>
    <w:rsid w:val="001764C2"/>
    <w:rsid w:val="00195679"/>
    <w:rsid w:val="0020343D"/>
    <w:rsid w:val="002842C3"/>
    <w:rsid w:val="002C14B0"/>
    <w:rsid w:val="003000BF"/>
    <w:rsid w:val="003210DC"/>
    <w:rsid w:val="00322ACD"/>
    <w:rsid w:val="00322D44"/>
    <w:rsid w:val="0035302D"/>
    <w:rsid w:val="00363127"/>
    <w:rsid w:val="003761AE"/>
    <w:rsid w:val="003B4A23"/>
    <w:rsid w:val="0045363C"/>
    <w:rsid w:val="004B0D2A"/>
    <w:rsid w:val="004E36B5"/>
    <w:rsid w:val="005041F4"/>
    <w:rsid w:val="00512EF2"/>
    <w:rsid w:val="0052275E"/>
    <w:rsid w:val="00527019"/>
    <w:rsid w:val="005421E4"/>
    <w:rsid w:val="00547472"/>
    <w:rsid w:val="005B0A3D"/>
    <w:rsid w:val="006C47D0"/>
    <w:rsid w:val="00781BA0"/>
    <w:rsid w:val="007A65CF"/>
    <w:rsid w:val="007E24F3"/>
    <w:rsid w:val="007E695B"/>
    <w:rsid w:val="007E7A30"/>
    <w:rsid w:val="00800180"/>
    <w:rsid w:val="00806E68"/>
    <w:rsid w:val="008346D5"/>
    <w:rsid w:val="00873CF6"/>
    <w:rsid w:val="008776E3"/>
    <w:rsid w:val="00885926"/>
    <w:rsid w:val="008B73F6"/>
    <w:rsid w:val="008E0473"/>
    <w:rsid w:val="008E2688"/>
    <w:rsid w:val="008E776A"/>
    <w:rsid w:val="008F5643"/>
    <w:rsid w:val="00961AA6"/>
    <w:rsid w:val="009621CE"/>
    <w:rsid w:val="00AB754B"/>
    <w:rsid w:val="00AC4CEF"/>
    <w:rsid w:val="00B03FC1"/>
    <w:rsid w:val="00BB00F5"/>
    <w:rsid w:val="00BE28F6"/>
    <w:rsid w:val="00C446FA"/>
    <w:rsid w:val="00C81937"/>
    <w:rsid w:val="00CA43C3"/>
    <w:rsid w:val="00CC5C7D"/>
    <w:rsid w:val="00D33656"/>
    <w:rsid w:val="00D873F8"/>
    <w:rsid w:val="00DE2673"/>
    <w:rsid w:val="00DF5262"/>
    <w:rsid w:val="00E45A46"/>
    <w:rsid w:val="00E47B5B"/>
    <w:rsid w:val="00E708EE"/>
    <w:rsid w:val="00EA6A21"/>
    <w:rsid w:val="00F22898"/>
    <w:rsid w:val="00F40134"/>
    <w:rsid w:val="00F65DBE"/>
    <w:rsid w:val="00FA05F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2EDB60"/>
  <w15:chartTrackingRefBased/>
  <w15:docId w15:val="{2784871B-5D92-49D0-A734-BA9D9467A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E28F6"/>
    <w:pPr>
      <w:spacing w:after="180" w:line="264" w:lineRule="auto"/>
    </w:pPr>
    <w:rPr>
      <w:rFonts w:ascii="Arial (Body)" w:eastAsia="Times New Roman" w:hAnsi="Arial (Body)" w:cs="Times New Roman"/>
      <w:szCs w:val="20"/>
      <w:lang w:val="en-US"/>
    </w:rPr>
  </w:style>
  <w:style w:type="paragraph" w:styleId="Heading1">
    <w:name w:val="heading 1"/>
    <w:basedOn w:val="20MajorH1"/>
    <w:next w:val="Normal"/>
    <w:link w:val="Heading1Char"/>
    <w:uiPriority w:val="9"/>
    <w:rsid w:val="00BE28F6"/>
  </w:style>
  <w:style w:type="paragraph" w:styleId="Heading2">
    <w:name w:val="heading 2"/>
    <w:basedOn w:val="21MinorH2"/>
    <w:next w:val="Normal"/>
    <w:link w:val="Heading2Char"/>
    <w:uiPriority w:val="9"/>
    <w:semiHidden/>
    <w:rsid w:val="00BE28F6"/>
  </w:style>
  <w:style w:type="paragraph" w:styleId="Heading3">
    <w:name w:val="heading 3"/>
    <w:basedOn w:val="22Sub1H3"/>
    <w:next w:val="Normal"/>
    <w:link w:val="Heading3Char"/>
    <w:uiPriority w:val="9"/>
    <w:semiHidden/>
    <w:rsid w:val="00BE28F6"/>
  </w:style>
  <w:style w:type="paragraph" w:styleId="Heading4">
    <w:name w:val="heading 4"/>
    <w:basedOn w:val="22Sub2H4"/>
    <w:next w:val="Normal"/>
    <w:link w:val="Heading4Char"/>
    <w:uiPriority w:val="9"/>
    <w:semiHidden/>
    <w:rsid w:val="00BE28F6"/>
  </w:style>
  <w:style w:type="paragraph" w:styleId="Heading5">
    <w:name w:val="heading 5"/>
    <w:basedOn w:val="Normal"/>
    <w:next w:val="Normal"/>
    <w:link w:val="Heading5Char"/>
    <w:uiPriority w:val="9"/>
    <w:semiHidden/>
    <w:rsid w:val="00BE28F6"/>
    <w:pPr>
      <w:keepNext/>
      <w:keepLines/>
      <w:spacing w:before="360"/>
      <w:outlineLvl w:val="4"/>
    </w:pPr>
    <w:rPr>
      <w:b/>
      <w:sz w:val="26"/>
    </w:rPr>
  </w:style>
  <w:style w:type="paragraph" w:styleId="Heading6">
    <w:name w:val="heading 6"/>
    <w:basedOn w:val="Normal"/>
    <w:next w:val="Normal"/>
    <w:link w:val="Heading6Char"/>
    <w:uiPriority w:val="9"/>
    <w:semiHidden/>
    <w:rsid w:val="00BE28F6"/>
    <w:pPr>
      <w:keepNext/>
      <w:keepLines/>
      <w:spacing w:before="40" w:after="0"/>
      <w:outlineLvl w:val="5"/>
    </w:pPr>
    <w:rPr>
      <w:rFonts w:asciiTheme="majorHAnsi" w:eastAsiaTheme="majorEastAsia" w:hAnsiTheme="majorHAnsi" w:cstheme="majorBidi"/>
      <w:color w:val="020D15" w:themeColor="accent1" w:themeShade="7F"/>
    </w:rPr>
  </w:style>
  <w:style w:type="paragraph" w:styleId="Heading7">
    <w:name w:val="heading 7"/>
    <w:basedOn w:val="Normal"/>
    <w:next w:val="Normal"/>
    <w:link w:val="Heading7Char"/>
    <w:uiPriority w:val="9"/>
    <w:semiHidden/>
    <w:rsid w:val="00BE28F6"/>
    <w:pPr>
      <w:keepNext/>
      <w:keepLines/>
      <w:spacing w:before="40" w:after="0"/>
      <w:outlineLvl w:val="6"/>
    </w:pPr>
    <w:rPr>
      <w:rFonts w:asciiTheme="majorHAnsi" w:eastAsiaTheme="majorEastAsia" w:hAnsiTheme="majorHAnsi" w:cstheme="majorBidi"/>
      <w:i/>
      <w:iCs/>
      <w:color w:val="020D15" w:themeColor="accent1" w:themeShade="7F"/>
    </w:rPr>
  </w:style>
  <w:style w:type="paragraph" w:styleId="Heading8">
    <w:name w:val="heading 8"/>
    <w:basedOn w:val="Normal"/>
    <w:next w:val="Normal"/>
    <w:link w:val="Heading8Char"/>
    <w:uiPriority w:val="9"/>
    <w:semiHidden/>
    <w:rsid w:val="00BE28F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rsid w:val="00BE28F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28F6"/>
    <w:rPr>
      <w:rFonts w:eastAsia="Times New Roman" w:cs="Times New Roman"/>
      <w:b/>
      <w:kern w:val="28"/>
      <w:sz w:val="32"/>
      <w:szCs w:val="20"/>
      <w:lang w:val="en-US"/>
      <w14:numForm w14:val="lining"/>
    </w:rPr>
  </w:style>
  <w:style w:type="character" w:customStyle="1" w:styleId="Heading2Char">
    <w:name w:val="Heading 2 Char"/>
    <w:basedOn w:val="DefaultParagraphFont"/>
    <w:link w:val="Heading2"/>
    <w:uiPriority w:val="9"/>
    <w:semiHidden/>
    <w:rsid w:val="00BE28F6"/>
    <w:rPr>
      <w:rFonts w:eastAsia="Times New Roman" w:cs="Times New Roman"/>
      <w:kern w:val="28"/>
      <w:sz w:val="28"/>
      <w:szCs w:val="20"/>
      <w:lang w:val="en-US"/>
      <w14:numForm w14:val="lining"/>
    </w:rPr>
  </w:style>
  <w:style w:type="character" w:customStyle="1" w:styleId="Heading3Char">
    <w:name w:val="Heading 3 Char"/>
    <w:basedOn w:val="DefaultParagraphFont"/>
    <w:link w:val="Heading3"/>
    <w:uiPriority w:val="9"/>
    <w:semiHidden/>
    <w:rsid w:val="00BE28F6"/>
    <w:rPr>
      <w:rFonts w:eastAsia="Times New Roman" w:cs="Times New Roman"/>
      <w:b/>
      <w:sz w:val="24"/>
      <w:szCs w:val="20"/>
      <w:lang w:val="en-US"/>
    </w:rPr>
  </w:style>
  <w:style w:type="character" w:customStyle="1" w:styleId="Heading4Char">
    <w:name w:val="Heading 4 Char"/>
    <w:basedOn w:val="DefaultParagraphFont"/>
    <w:link w:val="Heading4"/>
    <w:uiPriority w:val="9"/>
    <w:semiHidden/>
    <w:rsid w:val="00BE28F6"/>
    <w:rPr>
      <w:rFonts w:eastAsia="Times New Roman" w:cs="Times New Roman"/>
      <w:kern w:val="28"/>
      <w:sz w:val="24"/>
      <w:szCs w:val="20"/>
      <w:lang w:val="en-US"/>
      <w14:numForm w14:val="lining"/>
    </w:rPr>
  </w:style>
  <w:style w:type="character" w:customStyle="1" w:styleId="Heading5Char">
    <w:name w:val="Heading 5 Char"/>
    <w:basedOn w:val="DefaultParagraphFont"/>
    <w:link w:val="Heading5"/>
    <w:uiPriority w:val="9"/>
    <w:semiHidden/>
    <w:rsid w:val="00BE28F6"/>
    <w:rPr>
      <w:rFonts w:eastAsia="Times New Roman" w:cs="Times New Roman"/>
      <w:b/>
      <w:sz w:val="26"/>
      <w:szCs w:val="20"/>
      <w:lang w:val="en-US"/>
    </w:rPr>
  </w:style>
  <w:style w:type="character" w:customStyle="1" w:styleId="Heading6Char">
    <w:name w:val="Heading 6 Char"/>
    <w:basedOn w:val="DefaultParagraphFont"/>
    <w:link w:val="Heading6"/>
    <w:uiPriority w:val="9"/>
    <w:semiHidden/>
    <w:rsid w:val="00BE28F6"/>
    <w:rPr>
      <w:rFonts w:asciiTheme="majorHAnsi" w:eastAsiaTheme="majorEastAsia" w:hAnsiTheme="majorHAnsi" w:cstheme="majorBidi"/>
      <w:color w:val="020D15" w:themeColor="accent1" w:themeShade="7F"/>
      <w:szCs w:val="20"/>
      <w:lang w:val="en-US"/>
    </w:rPr>
  </w:style>
  <w:style w:type="character" w:customStyle="1" w:styleId="Heading7Char">
    <w:name w:val="Heading 7 Char"/>
    <w:basedOn w:val="DefaultParagraphFont"/>
    <w:link w:val="Heading7"/>
    <w:uiPriority w:val="9"/>
    <w:semiHidden/>
    <w:rsid w:val="00BE28F6"/>
    <w:rPr>
      <w:rFonts w:asciiTheme="majorHAnsi" w:eastAsiaTheme="majorEastAsia" w:hAnsiTheme="majorHAnsi" w:cstheme="majorBidi"/>
      <w:i/>
      <w:iCs/>
      <w:color w:val="020D15" w:themeColor="accent1" w:themeShade="7F"/>
      <w:szCs w:val="20"/>
      <w:lang w:val="en-US"/>
    </w:rPr>
  </w:style>
  <w:style w:type="character" w:customStyle="1" w:styleId="Heading8Char">
    <w:name w:val="Heading 8 Char"/>
    <w:basedOn w:val="DefaultParagraphFont"/>
    <w:link w:val="Heading8"/>
    <w:uiPriority w:val="9"/>
    <w:semiHidden/>
    <w:rsid w:val="00BE28F6"/>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BE28F6"/>
    <w:rPr>
      <w:rFonts w:asciiTheme="majorHAnsi" w:eastAsiaTheme="majorEastAsia" w:hAnsiTheme="majorHAnsi" w:cstheme="majorBidi"/>
      <w:i/>
      <w:iCs/>
      <w:color w:val="272727" w:themeColor="text1" w:themeTint="D8"/>
      <w:sz w:val="21"/>
      <w:szCs w:val="21"/>
      <w:lang w:val="en-US"/>
    </w:rPr>
  </w:style>
  <w:style w:type="table" w:customStyle="1" w:styleId="McKinseyTable2">
    <w:name w:val="McKinsey Table 2"/>
    <w:basedOn w:val="TableNormal"/>
    <w:uiPriority w:val="99"/>
    <w:rsid w:val="00BE28F6"/>
    <w:pPr>
      <w:spacing w:after="0" w:line="240" w:lineRule="auto"/>
    </w:pPr>
    <w:rPr>
      <w:lang w:val="en-US"/>
    </w:rPr>
    <w:tblPr>
      <w:tblStyleRowBandSize w:val="1"/>
    </w:tblPr>
    <w:tblStylePr w:type="firstRow">
      <w:tblPr/>
      <w:tcPr>
        <w:tcBorders>
          <w:top w:val="nil"/>
          <w:left w:val="nil"/>
          <w:bottom w:val="single" w:sz="12" w:space="0" w:color="7F7F7F"/>
          <w:right w:val="nil"/>
          <w:insideH w:val="nil"/>
          <w:insideV w:val="nil"/>
        </w:tcBorders>
        <w:vAlign w:val="bottom"/>
      </w:tcPr>
    </w:tblStylePr>
    <w:tblStylePr w:type="lastRow">
      <w:tblPr/>
      <w:tcPr>
        <w:tcBorders>
          <w:bottom w:val="single" w:sz="12" w:space="0" w:color="7F7F7F"/>
        </w:tcBorders>
      </w:tcPr>
    </w:tblStylePr>
    <w:tblStylePr w:type="band1Horz">
      <w:tblPr/>
      <w:tcPr>
        <w:tcBorders>
          <w:bottom w:val="single" w:sz="4" w:space="0" w:color="7F7F7F"/>
        </w:tcBorders>
      </w:tcPr>
    </w:tblStylePr>
    <w:tblStylePr w:type="band2Horz">
      <w:tblPr/>
      <w:tcPr>
        <w:tcBorders>
          <w:bottom w:val="single" w:sz="4" w:space="0" w:color="7F7F7F"/>
        </w:tcBorders>
      </w:tcPr>
    </w:tblStylePr>
  </w:style>
  <w:style w:type="paragraph" w:styleId="Footer">
    <w:name w:val="footer"/>
    <w:basedOn w:val="Normal"/>
    <w:link w:val="FooterChar"/>
    <w:uiPriority w:val="99"/>
    <w:semiHidden/>
    <w:rsid w:val="00BE28F6"/>
    <w:pPr>
      <w:ind w:left="-1809"/>
    </w:pPr>
    <w:rPr>
      <w:sz w:val="20"/>
    </w:rPr>
  </w:style>
  <w:style w:type="character" w:customStyle="1" w:styleId="FooterChar">
    <w:name w:val="Footer Char"/>
    <w:basedOn w:val="DefaultParagraphFont"/>
    <w:link w:val="Footer"/>
    <w:uiPriority w:val="99"/>
    <w:semiHidden/>
    <w:rsid w:val="00BE28F6"/>
    <w:rPr>
      <w:rFonts w:eastAsia="Times New Roman" w:cs="Times New Roman"/>
      <w:sz w:val="20"/>
      <w:szCs w:val="20"/>
      <w:lang w:val="en-US"/>
    </w:rPr>
  </w:style>
  <w:style w:type="paragraph" w:customStyle="1" w:styleId="991Title">
    <w:name w:val="99.1 Title"/>
    <w:next w:val="00Body"/>
    <w:link w:val="991TitleChar"/>
    <w:uiPriority w:val="3"/>
    <w:rsid w:val="00BE28F6"/>
    <w:pPr>
      <w:spacing w:before="100" w:beforeAutospacing="1" w:after="100" w:afterAutospacing="1" w:line="240" w:lineRule="auto"/>
    </w:pPr>
    <w:rPr>
      <w:rFonts w:asciiTheme="majorHAnsi" w:eastAsia="Times New Roman" w:hAnsiTheme="majorHAnsi" w:cs="Times New Roman"/>
      <w:b/>
      <w:kern w:val="40"/>
      <w:sz w:val="64"/>
      <w:szCs w:val="64"/>
      <w:lang w:val="en-US"/>
      <w14:numForm w14:val="lining"/>
    </w:rPr>
  </w:style>
  <w:style w:type="paragraph" w:customStyle="1" w:styleId="TitlePageDisclaimer">
    <w:name w:val="Title Page Disclaimer"/>
    <w:basedOn w:val="Normal"/>
    <w:link w:val="TitlePageDisclaimerChar"/>
    <w:semiHidden/>
    <w:locked/>
    <w:rsid w:val="00BE28F6"/>
    <w:pPr>
      <w:spacing w:after="0" w:line="240" w:lineRule="auto"/>
    </w:pPr>
    <w:rPr>
      <w:rFonts w:ascii="Arial" w:hAnsi="Arial"/>
      <w:color w:val="000000"/>
      <w:sz w:val="20"/>
    </w:rPr>
  </w:style>
  <w:style w:type="character" w:customStyle="1" w:styleId="TitlePageDisclaimerChar">
    <w:name w:val="Title Page Disclaimer Char"/>
    <w:basedOn w:val="DefaultParagraphFont"/>
    <w:link w:val="TitlePageDisclaimer"/>
    <w:semiHidden/>
    <w:rsid w:val="00BE28F6"/>
    <w:rPr>
      <w:rFonts w:ascii="Arial" w:eastAsia="Times New Roman" w:hAnsi="Arial" w:cs="Times New Roman"/>
      <w:color w:val="000000"/>
      <w:sz w:val="20"/>
      <w:szCs w:val="20"/>
      <w:lang w:val="en-US"/>
    </w:rPr>
  </w:style>
  <w:style w:type="character" w:customStyle="1" w:styleId="991TitleChar">
    <w:name w:val="99.1 Title Char"/>
    <w:basedOn w:val="DefaultParagraphFont"/>
    <w:link w:val="991Title"/>
    <w:uiPriority w:val="3"/>
    <w:rsid w:val="00BE28F6"/>
    <w:rPr>
      <w:rFonts w:asciiTheme="majorHAnsi" w:eastAsia="Times New Roman" w:hAnsiTheme="majorHAnsi" w:cs="Times New Roman"/>
      <w:b/>
      <w:kern w:val="40"/>
      <w:sz w:val="64"/>
      <w:szCs w:val="64"/>
      <w:lang w:val="en-US"/>
      <w14:numForm w14:val="lining"/>
    </w:rPr>
  </w:style>
  <w:style w:type="paragraph" w:customStyle="1" w:styleId="00Body">
    <w:name w:val="00 Body"/>
    <w:basedOn w:val="Normal"/>
    <w:link w:val="00BodyChar"/>
    <w:qFormat/>
    <w:rsid w:val="00BE28F6"/>
    <w:pPr>
      <w:spacing w:before="180"/>
    </w:pPr>
  </w:style>
  <w:style w:type="character" w:styleId="EndnoteReference">
    <w:name w:val="endnote reference"/>
    <w:basedOn w:val="EndnoteTextChar"/>
    <w:uiPriority w:val="99"/>
    <w:rsid w:val="00BE28F6"/>
    <w:rPr>
      <w:rFonts w:ascii="Theinhardt Pan Light" w:eastAsia="Times New Roman" w:hAnsi="Theinhardt Pan Light" w:cs="Times New Roman"/>
      <w:caps w:val="0"/>
      <w:smallCaps w:val="0"/>
      <w:strike w:val="0"/>
      <w:dstrike w:val="0"/>
      <w:vanish w:val="0"/>
      <w:sz w:val="20"/>
      <w:szCs w:val="20"/>
      <w:vertAlign w:val="superscript"/>
      <w:lang w:val="en-US"/>
    </w:rPr>
  </w:style>
  <w:style w:type="paragraph" w:customStyle="1" w:styleId="993Eyebrow">
    <w:name w:val="99.3 Eyebrow"/>
    <w:basedOn w:val="Normal"/>
    <w:next w:val="991Title"/>
    <w:uiPriority w:val="3"/>
    <w:rsid w:val="00BE28F6"/>
    <w:pPr>
      <w:spacing w:before="360" w:after="60"/>
    </w:pPr>
    <w:rPr>
      <w:rFonts w:cs="Theinhardt Medium"/>
      <w:b/>
      <w:sz w:val="24"/>
      <w:szCs w:val="24"/>
    </w:rPr>
  </w:style>
  <w:style w:type="paragraph" w:customStyle="1" w:styleId="992Subtitle">
    <w:name w:val="99.2 Subtitle"/>
    <w:basedOn w:val="Normal"/>
    <w:uiPriority w:val="2"/>
    <w:rsid w:val="00BE28F6"/>
    <w:pPr>
      <w:spacing w:before="60"/>
    </w:pPr>
    <w:rPr>
      <w:sz w:val="32"/>
    </w:rPr>
  </w:style>
  <w:style w:type="paragraph" w:styleId="Title">
    <w:name w:val="Title"/>
    <w:basedOn w:val="991Title"/>
    <w:next w:val="Normal"/>
    <w:link w:val="TitleChar"/>
    <w:uiPriority w:val="10"/>
    <w:rsid w:val="00BE28F6"/>
  </w:style>
  <w:style w:type="character" w:customStyle="1" w:styleId="TitleChar">
    <w:name w:val="Title Char"/>
    <w:basedOn w:val="DefaultParagraphFont"/>
    <w:link w:val="Title"/>
    <w:uiPriority w:val="10"/>
    <w:rsid w:val="00BE28F6"/>
    <w:rPr>
      <w:rFonts w:asciiTheme="majorHAnsi" w:eastAsia="Times New Roman" w:hAnsiTheme="majorHAnsi" w:cs="Times New Roman"/>
      <w:b/>
      <w:kern w:val="40"/>
      <w:sz w:val="64"/>
      <w:szCs w:val="64"/>
      <w:lang w:val="en-US"/>
      <w14:numForm w14:val="lining"/>
    </w:rPr>
  </w:style>
  <w:style w:type="paragraph" w:customStyle="1" w:styleId="27TBStat">
    <w:name w:val="27 TB Stat"/>
    <w:next w:val="28TBText"/>
    <w:rsid w:val="00BE28F6"/>
    <w:pPr>
      <w:spacing w:after="60" w:line="216" w:lineRule="auto"/>
    </w:pPr>
    <w:rPr>
      <w:rFonts w:asciiTheme="majorHAnsi" w:eastAsia="Times New Roman" w:hAnsiTheme="majorHAnsi" w:cs="Times New Roman"/>
      <w:b/>
      <w:color w:val="000000"/>
      <w:kern w:val="40"/>
      <w:sz w:val="72"/>
      <w:szCs w:val="88"/>
      <w:lang w:val="en-US"/>
      <w14:numForm w14:val="lining"/>
    </w:rPr>
  </w:style>
  <w:style w:type="character" w:styleId="CommentReference">
    <w:name w:val="annotation reference"/>
    <w:basedOn w:val="DefaultParagraphFont"/>
    <w:uiPriority w:val="99"/>
    <w:semiHidden/>
    <w:rsid w:val="00BE28F6"/>
    <w:rPr>
      <w:sz w:val="16"/>
      <w:szCs w:val="16"/>
    </w:rPr>
  </w:style>
  <w:style w:type="paragraph" w:styleId="EndnoteText">
    <w:name w:val="endnote text"/>
    <w:basedOn w:val="Normal"/>
    <w:link w:val="EndnoteTextChar"/>
    <w:rsid w:val="00BE28F6"/>
    <w:pPr>
      <w:spacing w:line="240" w:lineRule="auto"/>
      <w:ind w:left="216" w:hanging="216"/>
    </w:pPr>
    <w:rPr>
      <w:sz w:val="20"/>
    </w:rPr>
  </w:style>
  <w:style w:type="character" w:customStyle="1" w:styleId="EndnoteTextChar">
    <w:name w:val="Endnote Text Char"/>
    <w:basedOn w:val="DefaultParagraphFont"/>
    <w:link w:val="EndnoteText"/>
    <w:rsid w:val="00BE28F6"/>
    <w:rPr>
      <w:rFonts w:eastAsia="Times New Roman" w:cs="Times New Roman"/>
      <w:sz w:val="20"/>
      <w:szCs w:val="20"/>
      <w:lang w:val="en-US"/>
    </w:rPr>
  </w:style>
  <w:style w:type="paragraph" w:styleId="FootnoteText">
    <w:name w:val="footnote text"/>
    <w:basedOn w:val="Normal"/>
    <w:link w:val="FootnoteTextChar"/>
    <w:uiPriority w:val="99"/>
    <w:semiHidden/>
    <w:rsid w:val="00BE28F6"/>
    <w:pPr>
      <w:spacing w:line="240" w:lineRule="auto"/>
      <w:ind w:left="126" w:hanging="126"/>
    </w:pPr>
    <w:rPr>
      <w:sz w:val="20"/>
    </w:rPr>
  </w:style>
  <w:style w:type="character" w:customStyle="1" w:styleId="FootnoteTextChar">
    <w:name w:val="Footnote Text Char"/>
    <w:basedOn w:val="DefaultParagraphFont"/>
    <w:link w:val="FootnoteText"/>
    <w:uiPriority w:val="99"/>
    <w:semiHidden/>
    <w:rsid w:val="00BE28F6"/>
    <w:rPr>
      <w:rFonts w:eastAsia="Times New Roman" w:cs="Times New Roman"/>
      <w:sz w:val="20"/>
      <w:szCs w:val="20"/>
      <w:lang w:val="en-US"/>
    </w:rPr>
  </w:style>
  <w:style w:type="paragraph" w:customStyle="1" w:styleId="20MajorH1">
    <w:name w:val="20 Major H1"/>
    <w:basedOn w:val="Normal"/>
    <w:next w:val="00Body"/>
    <w:link w:val="20MajorH1Char"/>
    <w:uiPriority w:val="2"/>
    <w:qFormat/>
    <w:rsid w:val="00BE28F6"/>
    <w:pPr>
      <w:keepNext/>
      <w:keepLines/>
      <w:spacing w:before="480"/>
      <w:outlineLvl w:val="0"/>
    </w:pPr>
    <w:rPr>
      <w:b/>
      <w:kern w:val="28"/>
      <w:sz w:val="32"/>
      <w14:numForm w14:val="lining"/>
    </w:rPr>
  </w:style>
  <w:style w:type="paragraph" w:customStyle="1" w:styleId="21MinorH2">
    <w:name w:val="21 Minor H2"/>
    <w:basedOn w:val="Normal"/>
    <w:next w:val="00Body"/>
    <w:link w:val="21MinorH2Char"/>
    <w:uiPriority w:val="3"/>
    <w:qFormat/>
    <w:rsid w:val="00BE28F6"/>
    <w:pPr>
      <w:keepNext/>
      <w:keepLines/>
      <w:spacing w:before="360"/>
      <w:outlineLvl w:val="1"/>
    </w:pPr>
    <w:rPr>
      <w:kern w:val="28"/>
      <w:sz w:val="28"/>
      <w14:numForm w14:val="lining"/>
    </w:rPr>
  </w:style>
  <w:style w:type="character" w:customStyle="1" w:styleId="20MajorH1Char">
    <w:name w:val="20 Major H1 Char"/>
    <w:basedOn w:val="DefaultParagraphFont"/>
    <w:link w:val="20MajorH1"/>
    <w:rsid w:val="00BE28F6"/>
    <w:rPr>
      <w:rFonts w:eastAsia="Times New Roman" w:cs="Times New Roman"/>
      <w:b/>
      <w:kern w:val="28"/>
      <w:sz w:val="32"/>
      <w:szCs w:val="20"/>
      <w:lang w:val="en-US"/>
      <w14:numForm w14:val="lining"/>
    </w:rPr>
  </w:style>
  <w:style w:type="paragraph" w:customStyle="1" w:styleId="993-Square">
    <w:name w:val="99 3-Square"/>
    <w:basedOn w:val="Normal"/>
    <w:next w:val="00Body"/>
    <w:uiPriority w:val="2"/>
    <w:rsid w:val="00BE28F6"/>
    <w:pPr>
      <w:spacing w:line="240" w:lineRule="auto"/>
      <w:jc w:val="center"/>
    </w:pPr>
  </w:style>
  <w:style w:type="character" w:customStyle="1" w:styleId="21MinorH2Char">
    <w:name w:val="21 Minor H2 Char"/>
    <w:basedOn w:val="DefaultParagraphFont"/>
    <w:link w:val="21MinorH2"/>
    <w:rsid w:val="00BE28F6"/>
    <w:rPr>
      <w:rFonts w:eastAsia="Times New Roman" w:cs="Times New Roman"/>
      <w:kern w:val="28"/>
      <w:sz w:val="28"/>
      <w:szCs w:val="20"/>
      <w:lang w:val="en-US"/>
      <w14:numForm w14:val="lining"/>
    </w:rPr>
  </w:style>
  <w:style w:type="paragraph" w:customStyle="1" w:styleId="99EndDate">
    <w:name w:val="99 End Date"/>
    <w:basedOn w:val="00Body"/>
    <w:uiPriority w:val="1"/>
    <w:rsid w:val="00BE28F6"/>
    <w:pPr>
      <w:spacing w:before="300" w:line="276" w:lineRule="auto"/>
      <w:jc w:val="right"/>
    </w:pPr>
    <w:rPr>
      <w:b/>
      <w:i/>
      <w:iCs/>
      <w:sz w:val="20"/>
    </w:rPr>
  </w:style>
  <w:style w:type="paragraph" w:styleId="TOAHeading">
    <w:name w:val="toa heading"/>
    <w:basedOn w:val="20MajorH1"/>
    <w:next w:val="Normal"/>
    <w:uiPriority w:val="99"/>
    <w:unhideWhenUsed/>
    <w:rsid w:val="00BE28F6"/>
    <w:pPr>
      <w:outlineLvl w:val="9"/>
    </w:pPr>
    <w:rPr>
      <w:lang w:val="ru-RU"/>
    </w:rPr>
  </w:style>
  <w:style w:type="paragraph" w:customStyle="1" w:styleId="10TableBody">
    <w:name w:val="10 Table Body"/>
    <w:basedOn w:val="Normal"/>
    <w:next w:val="00Body"/>
    <w:uiPriority w:val="2"/>
    <w:rsid w:val="00BE28F6"/>
    <w:rPr>
      <w:rFonts w:cstheme="minorHAnsi"/>
    </w:rPr>
  </w:style>
  <w:style w:type="paragraph" w:styleId="TOC7">
    <w:name w:val="toc 7"/>
    <w:basedOn w:val="Normal"/>
    <w:next w:val="Normal"/>
    <w:autoRedefine/>
    <w:uiPriority w:val="39"/>
    <w:unhideWhenUsed/>
    <w:rsid w:val="00BE28F6"/>
    <w:pPr>
      <w:spacing w:after="0"/>
      <w:ind w:left="1320"/>
    </w:pPr>
    <w:rPr>
      <w:rFonts w:cstheme="minorHAnsi"/>
      <w:sz w:val="20"/>
    </w:rPr>
  </w:style>
  <w:style w:type="paragraph" w:customStyle="1" w:styleId="22Sub1H3">
    <w:name w:val="22 Sub 1 H3"/>
    <w:basedOn w:val="Normal"/>
    <w:next w:val="00Body"/>
    <w:link w:val="22Sub1H3Char"/>
    <w:uiPriority w:val="4"/>
    <w:qFormat/>
    <w:rsid w:val="00BE28F6"/>
    <w:pPr>
      <w:keepNext/>
      <w:keepLines/>
      <w:spacing w:before="360"/>
      <w:outlineLvl w:val="2"/>
    </w:pPr>
    <w:rPr>
      <w:b/>
      <w:sz w:val="24"/>
    </w:rPr>
  </w:style>
  <w:style w:type="paragraph" w:styleId="TOC8">
    <w:name w:val="toc 8"/>
    <w:basedOn w:val="Normal"/>
    <w:next w:val="Normal"/>
    <w:autoRedefine/>
    <w:uiPriority w:val="39"/>
    <w:unhideWhenUsed/>
    <w:rsid w:val="00BE28F6"/>
    <w:pPr>
      <w:spacing w:after="0"/>
      <w:ind w:left="1540"/>
    </w:pPr>
    <w:rPr>
      <w:rFonts w:cstheme="minorHAnsi"/>
      <w:sz w:val="20"/>
    </w:rPr>
  </w:style>
  <w:style w:type="paragraph" w:customStyle="1" w:styleId="304Sub2H4">
    <w:name w:val="30.4 #Sub 2 H4"/>
    <w:basedOn w:val="22Sub2H4"/>
    <w:next w:val="00Body"/>
    <w:rsid w:val="00BE28F6"/>
    <w:pPr>
      <w:numPr>
        <w:ilvl w:val="3"/>
        <w:numId w:val="24"/>
      </w:numPr>
    </w:pPr>
  </w:style>
  <w:style w:type="character" w:customStyle="1" w:styleId="22Sub1H3Char">
    <w:name w:val="22 Sub 1 H3 Char"/>
    <w:basedOn w:val="DefaultParagraphFont"/>
    <w:link w:val="22Sub1H3"/>
    <w:rsid w:val="00BE28F6"/>
    <w:rPr>
      <w:rFonts w:eastAsia="Times New Roman" w:cs="Times New Roman"/>
      <w:b/>
      <w:sz w:val="24"/>
      <w:szCs w:val="20"/>
      <w:lang w:val="en-US"/>
    </w:rPr>
  </w:style>
  <w:style w:type="paragraph" w:styleId="Header">
    <w:name w:val="header"/>
    <w:basedOn w:val="Normal"/>
    <w:link w:val="HeaderChar"/>
    <w:uiPriority w:val="99"/>
    <w:semiHidden/>
    <w:rsid w:val="00BE28F6"/>
    <w:pPr>
      <w:tabs>
        <w:tab w:val="center" w:pos="4680"/>
        <w:tab w:val="right" w:pos="9360"/>
      </w:tabs>
      <w:spacing w:after="0" w:line="240" w:lineRule="auto"/>
    </w:pPr>
    <w:rPr>
      <w:sz w:val="20"/>
    </w:rPr>
  </w:style>
  <w:style w:type="character" w:customStyle="1" w:styleId="HeaderChar">
    <w:name w:val="Header Char"/>
    <w:basedOn w:val="DefaultParagraphFont"/>
    <w:link w:val="Header"/>
    <w:uiPriority w:val="99"/>
    <w:semiHidden/>
    <w:rsid w:val="00BE28F6"/>
    <w:rPr>
      <w:rFonts w:eastAsia="Times New Roman" w:cs="Times New Roman"/>
      <w:sz w:val="20"/>
      <w:szCs w:val="20"/>
      <w:lang w:val="en-US"/>
    </w:rPr>
  </w:style>
  <w:style w:type="paragraph" w:customStyle="1" w:styleId="01B1Dot">
    <w:name w:val="01 B1 Dot"/>
    <w:basedOn w:val="Normal"/>
    <w:link w:val="01B1DotChar"/>
    <w:uiPriority w:val="7"/>
    <w:qFormat/>
    <w:rsid w:val="00BE28F6"/>
    <w:pPr>
      <w:numPr>
        <w:numId w:val="15"/>
      </w:numPr>
      <w:spacing w:after="120"/>
    </w:pPr>
  </w:style>
  <w:style w:type="paragraph" w:styleId="ListBullet3">
    <w:name w:val="List Bullet 3"/>
    <w:basedOn w:val="01B3Chevron"/>
    <w:uiPriority w:val="99"/>
    <w:semiHidden/>
    <w:rsid w:val="00BE28F6"/>
  </w:style>
  <w:style w:type="paragraph" w:styleId="E-mailSignature">
    <w:name w:val="E-mail Signature"/>
    <w:basedOn w:val="Normal"/>
    <w:link w:val="E-mailSignatureChar"/>
    <w:uiPriority w:val="99"/>
    <w:semiHidden/>
    <w:unhideWhenUsed/>
    <w:rsid w:val="00BE28F6"/>
    <w:pPr>
      <w:spacing w:after="0" w:line="240" w:lineRule="auto"/>
    </w:pPr>
  </w:style>
  <w:style w:type="character" w:customStyle="1" w:styleId="E-mailSignatureChar">
    <w:name w:val="E-mail Signature Char"/>
    <w:basedOn w:val="DefaultParagraphFont"/>
    <w:link w:val="E-mailSignature"/>
    <w:uiPriority w:val="99"/>
    <w:semiHidden/>
    <w:rsid w:val="00BE28F6"/>
    <w:rPr>
      <w:rFonts w:eastAsia="Times New Roman" w:cs="Times New Roman"/>
      <w:szCs w:val="20"/>
      <w:lang w:val="en-US"/>
    </w:rPr>
  </w:style>
  <w:style w:type="character" w:styleId="FootnoteReference">
    <w:name w:val="footnote reference"/>
    <w:basedOn w:val="DefaultParagraphFont"/>
    <w:uiPriority w:val="99"/>
    <w:semiHidden/>
    <w:rsid w:val="00BE28F6"/>
    <w:rPr>
      <w:b/>
      <w:vertAlign w:val="superscript"/>
    </w:rPr>
  </w:style>
  <w:style w:type="paragraph" w:customStyle="1" w:styleId="61ExhImg">
    <w:name w:val="61 Exh Img"/>
    <w:next w:val="62ExhSource"/>
    <w:rsid w:val="00BE28F6"/>
    <w:pPr>
      <w:spacing w:after="240" w:line="240" w:lineRule="auto"/>
    </w:pPr>
    <w:rPr>
      <w:rFonts w:eastAsia="Times New Roman" w:cs="Times New Roman"/>
      <w:sz w:val="20"/>
      <w:szCs w:val="20"/>
      <w:lang w:val="en-US"/>
    </w:rPr>
  </w:style>
  <w:style w:type="paragraph" w:customStyle="1" w:styleId="11TableHeading">
    <w:name w:val="11 Table Heading"/>
    <w:basedOn w:val="Normal"/>
    <w:uiPriority w:val="2"/>
    <w:rsid w:val="00BE28F6"/>
    <w:rPr>
      <w:b/>
    </w:rPr>
  </w:style>
  <w:style w:type="character" w:customStyle="1" w:styleId="00BodyChar">
    <w:name w:val="00 Body Char"/>
    <w:basedOn w:val="DefaultParagraphFont"/>
    <w:link w:val="00Body"/>
    <w:rsid w:val="00BE28F6"/>
    <w:rPr>
      <w:rFonts w:eastAsia="Times New Roman" w:cs="Times New Roman"/>
      <w:szCs w:val="20"/>
      <w:lang w:val="en-US"/>
    </w:rPr>
  </w:style>
  <w:style w:type="character" w:customStyle="1" w:styleId="01B1DotChar">
    <w:name w:val="01 B1 Dot Char"/>
    <w:basedOn w:val="00BodyChar"/>
    <w:link w:val="01B1Dot"/>
    <w:uiPriority w:val="1"/>
    <w:rsid w:val="00BE28F6"/>
    <w:rPr>
      <w:rFonts w:eastAsia="Times New Roman" w:cs="Times New Roman"/>
      <w:szCs w:val="20"/>
      <w:lang w:val="en-US"/>
    </w:rPr>
  </w:style>
  <w:style w:type="paragraph" w:customStyle="1" w:styleId="19ChapterTitle">
    <w:name w:val="19 Chapter Title"/>
    <w:basedOn w:val="Normal"/>
    <w:next w:val="00Body"/>
    <w:uiPriority w:val="1"/>
    <w:qFormat/>
    <w:rsid w:val="00BE28F6"/>
    <w:pPr>
      <w:keepNext/>
      <w:keepLines/>
      <w:pageBreakBefore/>
      <w:suppressAutoHyphens/>
      <w:spacing w:after="360"/>
      <w:outlineLvl w:val="0"/>
    </w:pPr>
    <w:rPr>
      <w:rFonts w:asciiTheme="majorHAnsi" w:hAnsiTheme="majorHAnsi"/>
      <w:b/>
      <w:kern w:val="28"/>
      <w:sz w:val="60"/>
      <w14:numForm w14:val="lining"/>
    </w:rPr>
  </w:style>
  <w:style w:type="paragraph" w:styleId="TOC9">
    <w:name w:val="toc 9"/>
    <w:basedOn w:val="Normal"/>
    <w:next w:val="Normal"/>
    <w:autoRedefine/>
    <w:uiPriority w:val="39"/>
    <w:unhideWhenUsed/>
    <w:rsid w:val="00BE28F6"/>
    <w:pPr>
      <w:spacing w:after="0"/>
      <w:ind w:left="1760"/>
    </w:pPr>
    <w:rPr>
      <w:rFonts w:cstheme="minorHAnsi"/>
      <w:sz w:val="20"/>
    </w:rPr>
  </w:style>
  <w:style w:type="paragraph" w:customStyle="1" w:styleId="69TOCTitle">
    <w:name w:val="69 TOC Title"/>
    <w:basedOn w:val="20MajorH1"/>
    <w:uiPriority w:val="3"/>
    <w:rsid w:val="00BE28F6"/>
    <w:pPr>
      <w:outlineLvl w:val="9"/>
    </w:pPr>
  </w:style>
  <w:style w:type="paragraph" w:styleId="TOC1">
    <w:name w:val="toc 1"/>
    <w:basedOn w:val="Normal"/>
    <w:next w:val="Normal"/>
    <w:autoRedefine/>
    <w:uiPriority w:val="39"/>
    <w:unhideWhenUsed/>
    <w:rsid w:val="00BE28F6"/>
    <w:pPr>
      <w:tabs>
        <w:tab w:val="right" w:leader="dot" w:pos="8270"/>
      </w:tabs>
      <w:spacing w:after="100"/>
      <w:ind w:right="432"/>
    </w:pPr>
    <w:rPr>
      <w:b/>
    </w:rPr>
  </w:style>
  <w:style w:type="paragraph" w:customStyle="1" w:styleId="25PullQuote">
    <w:name w:val="25 Pull Quote"/>
    <w:next w:val="00Body"/>
    <w:uiPriority w:val="9"/>
    <w:qFormat/>
    <w:rsid w:val="00BE28F6"/>
    <w:pPr>
      <w:keepNext/>
      <w:spacing w:before="300" w:after="300" w:line="264" w:lineRule="auto"/>
      <w:ind w:left="432" w:right="432"/>
    </w:pPr>
    <w:rPr>
      <w:rFonts w:asciiTheme="majorHAnsi" w:eastAsia="Times New Roman" w:hAnsiTheme="majorHAnsi" w:cs="Times New Roman"/>
      <w:b/>
      <w:kern w:val="40"/>
      <w:sz w:val="40"/>
      <w:szCs w:val="20"/>
      <w:lang w:val="en-US"/>
      <w14:numForm w14:val="lining"/>
    </w:rPr>
  </w:style>
  <w:style w:type="paragraph" w:customStyle="1" w:styleId="64CVName">
    <w:name w:val="64 CVName"/>
    <w:basedOn w:val="20MajorH1"/>
    <w:rsid w:val="00BE28F6"/>
    <w:pPr>
      <w:spacing w:before="0"/>
      <w:outlineLvl w:val="9"/>
    </w:pPr>
  </w:style>
  <w:style w:type="paragraph" w:customStyle="1" w:styleId="28TBText">
    <w:name w:val="28 TB Text"/>
    <w:basedOn w:val="Normal"/>
    <w:rsid w:val="00BE28F6"/>
    <w:rPr>
      <w:rFonts w:cstheme="minorHAnsi"/>
      <w:sz w:val="28"/>
      <w:szCs w:val="28"/>
    </w:rPr>
  </w:style>
  <w:style w:type="paragraph" w:customStyle="1" w:styleId="68RefTitle">
    <w:name w:val="68 Ref Title"/>
    <w:basedOn w:val="20MajorH1"/>
    <w:rsid w:val="00BE28F6"/>
  </w:style>
  <w:style w:type="paragraph" w:customStyle="1" w:styleId="22Sub2H4">
    <w:name w:val="22 Sub 2 H4"/>
    <w:next w:val="00Body"/>
    <w:uiPriority w:val="5"/>
    <w:qFormat/>
    <w:rsid w:val="00BE28F6"/>
    <w:pPr>
      <w:keepNext/>
      <w:keepLines/>
      <w:spacing w:before="360" w:after="180" w:line="264" w:lineRule="auto"/>
      <w:outlineLvl w:val="3"/>
    </w:pPr>
    <w:rPr>
      <w:rFonts w:eastAsia="Times New Roman" w:cs="Times New Roman"/>
      <w:kern w:val="28"/>
      <w:sz w:val="24"/>
      <w:szCs w:val="20"/>
      <w:lang w:val="en-US"/>
      <w14:numForm w14:val="lining"/>
    </w:rPr>
  </w:style>
  <w:style w:type="table" w:customStyle="1" w:styleId="McKinseyTable1">
    <w:name w:val="McKinsey Table 1"/>
    <w:basedOn w:val="TableNormal"/>
    <w:uiPriority w:val="99"/>
    <w:rsid w:val="00BE28F6"/>
    <w:pPr>
      <w:spacing w:after="0" w:line="240" w:lineRule="auto"/>
    </w:pPr>
    <w:rPr>
      <w:lang w:val="en-US"/>
    </w:rPr>
    <w:tblPr/>
    <w:tblStylePr w:type="firstRow">
      <w:tblPr/>
      <w:tcPr>
        <w:tcBorders>
          <w:bottom w:val="single" w:sz="12" w:space="0" w:color="7F7F7F"/>
        </w:tcBorders>
        <w:vAlign w:val="bottom"/>
      </w:tcPr>
    </w:tblStylePr>
  </w:style>
  <w:style w:type="paragraph" w:customStyle="1" w:styleId="65CVRole">
    <w:name w:val="65 CVRole"/>
    <w:basedOn w:val="21MinorH2"/>
    <w:rsid w:val="00BE28F6"/>
    <w:pPr>
      <w:spacing w:before="120"/>
      <w:outlineLvl w:val="4"/>
    </w:pPr>
  </w:style>
  <w:style w:type="table" w:styleId="TableGrid">
    <w:name w:val="Table Grid"/>
    <w:basedOn w:val="TableNormal"/>
    <w:uiPriority w:val="39"/>
    <w:rsid w:val="00BE28F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CVOffice">
    <w:name w:val="66 CVOffice"/>
    <w:basedOn w:val="Normal"/>
    <w:rsid w:val="00BE28F6"/>
    <w:pPr>
      <w:keepNext/>
      <w:keepLines/>
      <w:spacing w:before="120"/>
      <w:outlineLvl w:val="4"/>
    </w:pPr>
    <w:rPr>
      <w:rFonts w:cstheme="minorHAnsi"/>
      <w:i/>
      <w:sz w:val="26"/>
    </w:rPr>
  </w:style>
  <w:style w:type="paragraph" w:customStyle="1" w:styleId="40Address">
    <w:name w:val="40 Address"/>
    <w:basedOn w:val="00Body"/>
    <w:uiPriority w:val="2"/>
    <w:rsid w:val="00BE28F6"/>
    <w:pPr>
      <w:spacing w:before="120" w:after="0"/>
      <w:contextualSpacing/>
    </w:pPr>
  </w:style>
  <w:style w:type="paragraph" w:customStyle="1" w:styleId="38LetterDate">
    <w:name w:val="38 Letter Date"/>
    <w:basedOn w:val="40Address"/>
    <w:uiPriority w:val="2"/>
    <w:rsid w:val="00BE28F6"/>
    <w:pPr>
      <w:spacing w:before="1200" w:after="60"/>
    </w:pPr>
  </w:style>
  <w:style w:type="character" w:styleId="Hyperlink">
    <w:name w:val="Hyperlink"/>
    <w:basedOn w:val="DefaultParagraphFont"/>
    <w:uiPriority w:val="99"/>
    <w:semiHidden/>
    <w:rsid w:val="00BE28F6"/>
    <w:rPr>
      <w:color w:val="1F40E6"/>
      <w:u w:val="single"/>
    </w:rPr>
  </w:style>
  <w:style w:type="paragraph" w:styleId="NoSpacing">
    <w:name w:val="No Spacing"/>
    <w:link w:val="NoSpacingChar"/>
    <w:uiPriority w:val="1"/>
    <w:rsid w:val="00BE28F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E28F6"/>
    <w:rPr>
      <w:rFonts w:eastAsiaTheme="minorEastAsia"/>
      <w:lang w:val="en-US"/>
    </w:rPr>
  </w:style>
  <w:style w:type="paragraph" w:customStyle="1" w:styleId="01B2Dash">
    <w:name w:val="01 B2 Dash"/>
    <w:basedOn w:val="01B1Dot"/>
    <w:uiPriority w:val="1"/>
    <w:rsid w:val="00BE28F6"/>
    <w:pPr>
      <w:numPr>
        <w:ilvl w:val="1"/>
      </w:numPr>
      <w:ind w:left="720" w:hanging="360"/>
    </w:pPr>
    <w:rPr>
      <w:rFonts w:eastAsiaTheme="minorHAnsi"/>
    </w:rPr>
  </w:style>
  <w:style w:type="paragraph" w:customStyle="1" w:styleId="01B3Chevron">
    <w:name w:val="01 B3 Chevron"/>
    <w:basedOn w:val="01B1Dot"/>
    <w:uiPriority w:val="1"/>
    <w:rsid w:val="00BE28F6"/>
    <w:pPr>
      <w:numPr>
        <w:ilvl w:val="2"/>
      </w:numPr>
      <w:ind w:left="1008"/>
    </w:pPr>
    <w:rPr>
      <w:rFonts w:eastAsiaTheme="minorHAnsi"/>
    </w:rPr>
  </w:style>
  <w:style w:type="paragraph" w:customStyle="1" w:styleId="01B4Chevron">
    <w:name w:val="01 B4 Chevron"/>
    <w:basedOn w:val="01B1Dot"/>
    <w:uiPriority w:val="1"/>
    <w:rsid w:val="00BE28F6"/>
    <w:pPr>
      <w:numPr>
        <w:ilvl w:val="3"/>
      </w:numPr>
      <w:ind w:left="1310"/>
    </w:pPr>
    <w:rPr>
      <w:rFonts w:eastAsiaTheme="minorHAnsi"/>
    </w:rPr>
  </w:style>
  <w:style w:type="paragraph" w:customStyle="1" w:styleId="01B5Square">
    <w:name w:val="01 B5 Square"/>
    <w:basedOn w:val="01B1Dot"/>
    <w:uiPriority w:val="1"/>
    <w:rsid w:val="00BE28F6"/>
    <w:pPr>
      <w:numPr>
        <w:ilvl w:val="4"/>
      </w:numPr>
      <w:ind w:left="1613"/>
    </w:pPr>
    <w:rPr>
      <w:rFonts w:eastAsiaTheme="minorHAnsi"/>
    </w:rPr>
  </w:style>
  <w:style w:type="paragraph" w:customStyle="1" w:styleId="301MajorH1">
    <w:name w:val="30.1 #Major H1"/>
    <w:basedOn w:val="20MajorH1"/>
    <w:next w:val="00Body"/>
    <w:rsid w:val="00BE28F6"/>
    <w:pPr>
      <w:numPr>
        <w:numId w:val="24"/>
      </w:numPr>
    </w:pPr>
  </w:style>
  <w:style w:type="paragraph" w:customStyle="1" w:styleId="302MinH2">
    <w:name w:val="30.2 #Min H2"/>
    <w:basedOn w:val="21MinorH2"/>
    <w:next w:val="00Body"/>
    <w:rsid w:val="00BE28F6"/>
    <w:pPr>
      <w:numPr>
        <w:ilvl w:val="1"/>
        <w:numId w:val="24"/>
      </w:numPr>
    </w:pPr>
  </w:style>
  <w:style w:type="paragraph" w:customStyle="1" w:styleId="303Sub1H3">
    <w:name w:val="30.3 #Sub 1 H3"/>
    <w:basedOn w:val="22Sub1H3"/>
    <w:next w:val="00Body"/>
    <w:rsid w:val="00BE28F6"/>
    <w:pPr>
      <w:numPr>
        <w:ilvl w:val="2"/>
        <w:numId w:val="24"/>
      </w:numPr>
    </w:pPr>
  </w:style>
  <w:style w:type="paragraph" w:customStyle="1" w:styleId="05L1">
    <w:name w:val="05 #L1"/>
    <w:basedOn w:val="01B1Dot"/>
    <w:uiPriority w:val="8"/>
    <w:qFormat/>
    <w:rsid w:val="00BE28F6"/>
    <w:pPr>
      <w:numPr>
        <w:numId w:val="22"/>
      </w:numPr>
    </w:pPr>
  </w:style>
  <w:style w:type="paragraph" w:customStyle="1" w:styleId="05L2">
    <w:name w:val="05 #L2"/>
    <w:basedOn w:val="01B2Dash"/>
    <w:uiPriority w:val="1"/>
    <w:rsid w:val="00BE28F6"/>
    <w:pPr>
      <w:numPr>
        <w:numId w:val="22"/>
      </w:numPr>
      <w:ind w:left="720" w:hanging="360"/>
    </w:pPr>
  </w:style>
  <w:style w:type="paragraph" w:customStyle="1" w:styleId="05L3">
    <w:name w:val="05 #L3"/>
    <w:basedOn w:val="01B3Chevron"/>
    <w:uiPriority w:val="1"/>
    <w:rsid w:val="00BE28F6"/>
    <w:pPr>
      <w:numPr>
        <w:numId w:val="22"/>
      </w:numPr>
      <w:ind w:left="1008" w:hanging="288"/>
    </w:pPr>
  </w:style>
  <w:style w:type="paragraph" w:customStyle="1" w:styleId="05L4">
    <w:name w:val="05 #L4"/>
    <w:basedOn w:val="01B4Chevron"/>
    <w:uiPriority w:val="1"/>
    <w:rsid w:val="00BE28F6"/>
    <w:pPr>
      <w:numPr>
        <w:numId w:val="22"/>
      </w:numPr>
      <w:ind w:left="1296" w:hanging="288"/>
    </w:pPr>
  </w:style>
  <w:style w:type="paragraph" w:styleId="Salutation">
    <w:name w:val="Salutation"/>
    <w:basedOn w:val="Normal"/>
    <w:next w:val="Normal"/>
    <w:link w:val="SalutationChar"/>
    <w:uiPriority w:val="99"/>
    <w:semiHidden/>
    <w:rsid w:val="00BE28F6"/>
    <w:pPr>
      <w:spacing w:before="640"/>
    </w:pPr>
  </w:style>
  <w:style w:type="character" w:customStyle="1" w:styleId="SalutationChar">
    <w:name w:val="Salutation Char"/>
    <w:basedOn w:val="DefaultParagraphFont"/>
    <w:link w:val="Salutation"/>
    <w:uiPriority w:val="99"/>
    <w:semiHidden/>
    <w:rsid w:val="00BE28F6"/>
    <w:rPr>
      <w:rFonts w:eastAsia="Times New Roman" w:cs="Times New Roman"/>
      <w:szCs w:val="20"/>
      <w:lang w:val="en-US"/>
    </w:rPr>
  </w:style>
  <w:style w:type="paragraph" w:styleId="TOC6">
    <w:name w:val="toc 6"/>
    <w:basedOn w:val="Normal"/>
    <w:next w:val="Normal"/>
    <w:autoRedefine/>
    <w:uiPriority w:val="39"/>
    <w:unhideWhenUsed/>
    <w:rsid w:val="00BE28F6"/>
    <w:pPr>
      <w:spacing w:after="0"/>
      <w:ind w:left="1094" w:right="432"/>
    </w:pPr>
    <w:rPr>
      <w:rFonts w:cstheme="minorHAnsi"/>
      <w:sz w:val="20"/>
    </w:rPr>
  </w:style>
  <w:style w:type="paragraph" w:customStyle="1" w:styleId="60ExhNormal">
    <w:name w:val="60 Exh Normal"/>
    <w:basedOn w:val="EndnoteText"/>
    <w:uiPriority w:val="1"/>
    <w:rsid w:val="00BE28F6"/>
    <w:pPr>
      <w:keepNext/>
      <w:keepLines/>
      <w:spacing w:before="480" w:after="60"/>
      <w:ind w:left="0" w:firstLine="0"/>
    </w:pPr>
  </w:style>
  <w:style w:type="paragraph" w:customStyle="1" w:styleId="42cc">
    <w:name w:val="42 cc:"/>
    <w:basedOn w:val="Normal"/>
    <w:uiPriority w:val="2"/>
    <w:rsid w:val="00BE28F6"/>
    <w:pPr>
      <w:spacing w:before="180" w:after="60"/>
      <w:ind w:left="544" w:hanging="544"/>
    </w:pPr>
    <w:rPr>
      <w:sz w:val="24"/>
    </w:rPr>
  </w:style>
  <w:style w:type="paragraph" w:styleId="ListParagraph">
    <w:name w:val="List Paragraph"/>
    <w:basedOn w:val="Normal"/>
    <w:uiPriority w:val="34"/>
    <w:rsid w:val="00BE28F6"/>
    <w:pPr>
      <w:ind w:left="720"/>
    </w:pPr>
  </w:style>
  <w:style w:type="character" w:styleId="IntenseReference">
    <w:name w:val="Intense Reference"/>
    <w:basedOn w:val="DefaultParagraphFont"/>
    <w:uiPriority w:val="32"/>
    <w:rsid w:val="00BE28F6"/>
    <w:rPr>
      <w:b/>
      <w:bCs/>
      <w:caps w:val="0"/>
      <w:smallCaps w:val="0"/>
      <w:color w:val="051C2C" w:themeColor="accent1"/>
      <w:spacing w:val="5"/>
    </w:rPr>
  </w:style>
  <w:style w:type="paragraph" w:customStyle="1" w:styleId="StyleArialLeft-2cmAfter0pt">
    <w:name w:val="Style Arial Left:  -2 cm After:  0 pt"/>
    <w:basedOn w:val="Normal"/>
    <w:semiHidden/>
    <w:rsid w:val="00BE28F6"/>
    <w:pPr>
      <w:spacing w:before="180" w:after="0"/>
      <w:ind w:left="-1134"/>
    </w:pPr>
    <w:rPr>
      <w:rFonts w:ascii="Arial" w:hAnsi="Arial"/>
      <w:sz w:val="24"/>
    </w:rPr>
  </w:style>
  <w:style w:type="paragraph" w:customStyle="1" w:styleId="39RestrictiveNote">
    <w:name w:val="39 Restrictive Note"/>
    <w:basedOn w:val="NormalWeb"/>
    <w:uiPriority w:val="2"/>
    <w:rsid w:val="00BE28F6"/>
    <w:rPr>
      <w:rFonts w:asciiTheme="minorHAnsi" w:hAnsiTheme="minorHAnsi"/>
      <w:b/>
      <w:color w:val="E5546C"/>
      <w:sz w:val="22"/>
    </w:rPr>
  </w:style>
  <w:style w:type="paragraph" w:styleId="NormalWeb">
    <w:name w:val="Normal (Web)"/>
    <w:basedOn w:val="Normal"/>
    <w:uiPriority w:val="99"/>
    <w:semiHidden/>
    <w:unhideWhenUsed/>
    <w:rsid w:val="00BE28F6"/>
    <w:rPr>
      <w:rFonts w:ascii="Times New Roman" w:hAnsi="Times New Roman"/>
      <w:sz w:val="24"/>
      <w:szCs w:val="24"/>
    </w:rPr>
  </w:style>
  <w:style w:type="paragraph" w:customStyle="1" w:styleId="36Opener">
    <w:name w:val="36 Opener"/>
    <w:basedOn w:val="00Body"/>
    <w:uiPriority w:val="2"/>
    <w:rsid w:val="00BE28F6"/>
  </w:style>
  <w:style w:type="paragraph" w:customStyle="1" w:styleId="26TBQuote">
    <w:name w:val="26 TB Quote"/>
    <w:next w:val="28TBText"/>
    <w:rsid w:val="00BE28F6"/>
    <w:pPr>
      <w:spacing w:after="300" w:line="264" w:lineRule="auto"/>
    </w:pPr>
    <w:rPr>
      <w:rFonts w:asciiTheme="majorHAnsi" w:eastAsia="Times New Roman" w:hAnsiTheme="majorHAnsi" w:cs="Times New Roman"/>
      <w:b/>
      <w:kern w:val="40"/>
      <w:sz w:val="40"/>
      <w:szCs w:val="32"/>
      <w:lang w:val="en-US"/>
      <w14:numForm w14:val="lining"/>
    </w:rPr>
  </w:style>
  <w:style w:type="character" w:styleId="FollowedHyperlink">
    <w:name w:val="FollowedHyperlink"/>
    <w:basedOn w:val="DefaultParagraphFont"/>
    <w:uiPriority w:val="99"/>
    <w:semiHidden/>
    <w:unhideWhenUsed/>
    <w:rsid w:val="00BE28F6"/>
    <w:rPr>
      <w:color w:val="00A9F4" w:themeColor="followedHyperlink"/>
      <w:u w:val="single"/>
    </w:rPr>
  </w:style>
  <w:style w:type="paragraph" w:styleId="Index1">
    <w:name w:val="index 1"/>
    <w:basedOn w:val="Normal"/>
    <w:next w:val="Normal"/>
    <w:autoRedefine/>
    <w:uiPriority w:val="99"/>
    <w:semiHidden/>
    <w:unhideWhenUsed/>
    <w:rsid w:val="00BE28F6"/>
    <w:pPr>
      <w:spacing w:after="0" w:line="240" w:lineRule="auto"/>
      <w:ind w:left="220" w:hanging="220"/>
    </w:pPr>
  </w:style>
  <w:style w:type="character" w:styleId="PlaceholderText">
    <w:name w:val="Placeholder Text"/>
    <w:basedOn w:val="DefaultParagraphFont"/>
    <w:uiPriority w:val="99"/>
    <w:semiHidden/>
    <w:rsid w:val="00BE28F6"/>
    <w:rPr>
      <w:color w:val="808080"/>
    </w:rPr>
  </w:style>
  <w:style w:type="paragraph" w:styleId="TOC2">
    <w:name w:val="toc 2"/>
    <w:basedOn w:val="00Body"/>
    <w:next w:val="Normal"/>
    <w:autoRedefine/>
    <w:uiPriority w:val="39"/>
    <w:unhideWhenUsed/>
    <w:rsid w:val="00BE28F6"/>
    <w:pPr>
      <w:tabs>
        <w:tab w:val="right" w:leader="dot" w:pos="8266"/>
      </w:tabs>
      <w:spacing w:after="100"/>
      <w:ind w:right="432"/>
    </w:pPr>
  </w:style>
  <w:style w:type="table" w:customStyle="1" w:styleId="McKinseyExhibit1">
    <w:name w:val="McKinsey Exhibit 1"/>
    <w:basedOn w:val="TableNormal"/>
    <w:uiPriority w:val="99"/>
    <w:rsid w:val="00BE28F6"/>
    <w:pPr>
      <w:keepNext/>
      <w:keepLines/>
      <w:spacing w:after="0" w:line="240" w:lineRule="auto"/>
    </w:pPr>
    <w:rPr>
      <w:lang w:val="en-US"/>
    </w:rPr>
    <w:tblPr>
      <w:tblCellMar>
        <w:left w:w="0" w:type="dxa"/>
        <w:right w:w="0" w:type="dxa"/>
      </w:tblCellMar>
    </w:tblPr>
    <w:trPr>
      <w:cantSplit/>
    </w:trPr>
    <w:tcPr>
      <w:tcMar>
        <w:top w:w="0" w:type="dxa"/>
      </w:tcMar>
    </w:tcPr>
  </w:style>
  <w:style w:type="paragraph" w:customStyle="1" w:styleId="62ExhSource">
    <w:name w:val="62 Exh Source"/>
    <w:basedOn w:val="60ExhNormal"/>
    <w:rsid w:val="00BE28F6"/>
    <w:pPr>
      <w:spacing w:before="60" w:after="480"/>
    </w:pPr>
  </w:style>
  <w:style w:type="paragraph" w:styleId="TOC3">
    <w:name w:val="toc 3"/>
    <w:basedOn w:val="Normal"/>
    <w:next w:val="Normal"/>
    <w:autoRedefine/>
    <w:uiPriority w:val="39"/>
    <w:unhideWhenUsed/>
    <w:rsid w:val="00BE28F6"/>
    <w:pPr>
      <w:tabs>
        <w:tab w:val="right" w:leader="dot" w:pos="8266"/>
      </w:tabs>
      <w:spacing w:after="100"/>
      <w:ind w:left="504" w:right="432"/>
    </w:pPr>
  </w:style>
  <w:style w:type="paragraph" w:customStyle="1" w:styleId="981SOPPMajor">
    <w:name w:val="98.1 SOPP Major"/>
    <w:basedOn w:val="Normal"/>
    <w:rsid w:val="00BE28F6"/>
    <w:pPr>
      <w:keepNext/>
      <w:keepLines/>
      <w:spacing w:before="360" w:after="60" w:line="240" w:lineRule="auto"/>
      <w:outlineLvl w:val="0"/>
    </w:pPr>
    <w:rPr>
      <w:b/>
      <w:kern w:val="28"/>
      <w:sz w:val="32"/>
      <w14:numForm w14:val="lining"/>
    </w:rPr>
  </w:style>
  <w:style w:type="paragraph" w:customStyle="1" w:styleId="982SOPPMinor">
    <w:name w:val="98.2 SOPP Minor"/>
    <w:basedOn w:val="Normal"/>
    <w:rsid w:val="00BE28F6"/>
    <w:pPr>
      <w:spacing w:before="360" w:after="60" w:line="240" w:lineRule="auto"/>
    </w:pPr>
    <w:rPr>
      <w:kern w:val="28"/>
      <w:sz w:val="28"/>
      <w14:numForm w14:val="lining"/>
    </w:rPr>
  </w:style>
  <w:style w:type="paragraph" w:customStyle="1" w:styleId="983SOPPTitle">
    <w:name w:val="98.3 SOPP Title"/>
    <w:basedOn w:val="991Title"/>
    <w:next w:val="00Body"/>
    <w:rsid w:val="00BE28F6"/>
    <w:pPr>
      <w:pageBreakBefore/>
    </w:pPr>
    <w:rPr>
      <w:sz w:val="60"/>
    </w:rPr>
  </w:style>
  <w:style w:type="paragraph" w:styleId="ListBullet">
    <w:name w:val="List Bullet"/>
    <w:basedOn w:val="01B1Dot"/>
    <w:uiPriority w:val="99"/>
    <w:semiHidden/>
    <w:rsid w:val="00BE28F6"/>
    <w:rPr>
      <w:rFonts w:eastAsiaTheme="minorHAnsi"/>
    </w:rPr>
  </w:style>
  <w:style w:type="paragraph" w:styleId="ListBullet2">
    <w:name w:val="List Bullet 2"/>
    <w:basedOn w:val="01B2Dash"/>
    <w:uiPriority w:val="99"/>
    <w:semiHidden/>
    <w:rsid w:val="00BE28F6"/>
  </w:style>
  <w:style w:type="paragraph" w:styleId="ListBullet4">
    <w:name w:val="List Bullet 4"/>
    <w:basedOn w:val="01B4Chevron"/>
    <w:uiPriority w:val="99"/>
    <w:semiHidden/>
    <w:rsid w:val="00BE28F6"/>
  </w:style>
  <w:style w:type="paragraph" w:styleId="ListBullet5">
    <w:name w:val="List Bullet 5"/>
    <w:basedOn w:val="01B5Square"/>
    <w:uiPriority w:val="99"/>
    <w:semiHidden/>
    <w:rsid w:val="00BE28F6"/>
  </w:style>
  <w:style w:type="paragraph" w:customStyle="1" w:styleId="12TableCaption">
    <w:name w:val="12 Table Caption"/>
    <w:basedOn w:val="00Body"/>
    <w:rsid w:val="00BE28F6"/>
    <w:pPr>
      <w:keepLines/>
      <w:spacing w:before="60" w:after="480" w:line="240" w:lineRule="auto"/>
      <w:contextualSpacing/>
    </w:pPr>
    <w:rPr>
      <w:sz w:val="18"/>
    </w:rPr>
  </w:style>
  <w:style w:type="paragraph" w:styleId="TOC4">
    <w:name w:val="toc 4"/>
    <w:basedOn w:val="Normal"/>
    <w:next w:val="Normal"/>
    <w:autoRedefine/>
    <w:uiPriority w:val="39"/>
    <w:unhideWhenUsed/>
    <w:rsid w:val="00BE28F6"/>
    <w:pPr>
      <w:spacing w:after="100"/>
      <w:ind w:left="662" w:right="432"/>
    </w:pPr>
  </w:style>
  <w:style w:type="paragraph" w:customStyle="1" w:styleId="67CVHeading">
    <w:name w:val="67 CVHeading"/>
    <w:basedOn w:val="22Sub1H3"/>
    <w:next w:val="00Body"/>
    <w:rsid w:val="00BE28F6"/>
    <w:pPr>
      <w:outlineLvl w:val="9"/>
    </w:pPr>
  </w:style>
  <w:style w:type="character" w:customStyle="1" w:styleId="00Bold">
    <w:name w:val="00 Bold"/>
    <w:basedOn w:val="DefaultParagraphFont"/>
    <w:uiPriority w:val="1"/>
    <w:rsid w:val="00BE28F6"/>
    <w:rPr>
      <w:rFonts w:asciiTheme="minorHAnsi" w:hAnsiTheme="minorHAnsi" w:cs="Theinhardt Pan"/>
      <w:b/>
    </w:rPr>
  </w:style>
  <w:style w:type="paragraph" w:customStyle="1" w:styleId="18DividerPage">
    <w:name w:val="18 Divider Page"/>
    <w:rsid w:val="00BE28F6"/>
    <w:pPr>
      <w:spacing w:before="720" w:after="720" w:line="264" w:lineRule="auto"/>
      <w:outlineLvl w:val="0"/>
    </w:pPr>
    <w:rPr>
      <w:rFonts w:asciiTheme="majorHAnsi" w:hAnsiTheme="majorHAnsi" w:cs="Times New Roman"/>
      <w:b/>
      <w:kern w:val="28"/>
      <w:sz w:val="56"/>
      <w:szCs w:val="20"/>
      <w:lang w:val="en-US"/>
      <w14:numForm w14:val="lining"/>
    </w:rPr>
  </w:style>
  <w:style w:type="paragraph" w:styleId="IndexHeading">
    <w:name w:val="index heading"/>
    <w:basedOn w:val="21MinorH2"/>
    <w:next w:val="Index1"/>
    <w:uiPriority w:val="99"/>
    <w:semiHidden/>
    <w:unhideWhenUsed/>
    <w:rsid w:val="00BE28F6"/>
    <w:pPr>
      <w:outlineLvl w:val="9"/>
    </w:pPr>
    <w:rPr>
      <w:rFonts w:eastAsiaTheme="majorEastAsia" w:cstheme="majorBidi"/>
      <w:bCs/>
    </w:rPr>
  </w:style>
  <w:style w:type="paragraph" w:styleId="EnvelopeAddress">
    <w:name w:val="envelope address"/>
    <w:basedOn w:val="Normal"/>
    <w:uiPriority w:val="99"/>
    <w:semiHidden/>
    <w:unhideWhenUsed/>
    <w:rsid w:val="00BE28F6"/>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BE28F6"/>
    <w:pPr>
      <w:spacing w:after="0" w:line="240" w:lineRule="auto"/>
    </w:pPr>
    <w:rPr>
      <w:rFonts w:eastAsiaTheme="majorEastAsia" w:cstheme="majorBidi"/>
      <w:sz w:val="20"/>
    </w:rPr>
  </w:style>
  <w:style w:type="paragraph" w:styleId="TOCHeading">
    <w:name w:val="TOC Heading"/>
    <w:basedOn w:val="Heading1"/>
    <w:next w:val="Normal"/>
    <w:uiPriority w:val="39"/>
    <w:semiHidden/>
    <w:unhideWhenUsed/>
    <w:rsid w:val="00BE28F6"/>
    <w:pPr>
      <w:spacing w:before="240" w:after="0"/>
      <w:outlineLvl w:val="9"/>
    </w:pPr>
    <w:rPr>
      <w:rFonts w:eastAsiaTheme="majorEastAsia" w:cstheme="majorBidi"/>
      <w:color w:val="031420" w:themeColor="accent1" w:themeShade="BF"/>
      <w:szCs w:val="32"/>
    </w:rPr>
  </w:style>
  <w:style w:type="paragraph" w:styleId="CommentText">
    <w:name w:val="annotation text"/>
    <w:basedOn w:val="Normal"/>
    <w:link w:val="CommentTextChar"/>
    <w:uiPriority w:val="99"/>
    <w:unhideWhenUsed/>
    <w:qFormat/>
    <w:rsid w:val="00BE28F6"/>
    <w:pPr>
      <w:spacing w:line="240" w:lineRule="auto"/>
    </w:pPr>
    <w:rPr>
      <w:sz w:val="20"/>
    </w:rPr>
  </w:style>
  <w:style w:type="character" w:customStyle="1" w:styleId="CommentTextChar">
    <w:name w:val="Comment Text Char"/>
    <w:basedOn w:val="DefaultParagraphFont"/>
    <w:link w:val="CommentText"/>
    <w:uiPriority w:val="99"/>
    <w:rsid w:val="00BE28F6"/>
    <w:rPr>
      <w:rFonts w:eastAsia="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E28F6"/>
    <w:rPr>
      <w:b/>
      <w:bCs/>
    </w:rPr>
  </w:style>
  <w:style w:type="character" w:customStyle="1" w:styleId="CommentSubjectChar">
    <w:name w:val="Comment Subject Char"/>
    <w:basedOn w:val="CommentTextChar"/>
    <w:link w:val="CommentSubject"/>
    <w:uiPriority w:val="99"/>
    <w:semiHidden/>
    <w:rsid w:val="00BE28F6"/>
    <w:rPr>
      <w:rFonts w:eastAsia="Times New Roman" w:cs="Times New Roman"/>
      <w:b/>
      <w:bCs/>
      <w:sz w:val="20"/>
      <w:szCs w:val="20"/>
      <w:lang w:val="en-US"/>
    </w:rPr>
  </w:style>
  <w:style w:type="paragraph" w:styleId="BalloonText">
    <w:name w:val="Balloon Text"/>
    <w:basedOn w:val="Normal"/>
    <w:link w:val="BalloonTextChar"/>
    <w:uiPriority w:val="99"/>
    <w:semiHidden/>
    <w:unhideWhenUsed/>
    <w:rsid w:val="00BE28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8F6"/>
    <w:rPr>
      <w:rFonts w:ascii="Segoe UI" w:eastAsia="Times New Roman" w:hAnsi="Segoe UI" w:cs="Segoe UI"/>
      <w:sz w:val="18"/>
      <w:szCs w:val="18"/>
      <w:lang w:val="en-US"/>
    </w:rPr>
  </w:style>
  <w:style w:type="paragraph" w:styleId="TOC5">
    <w:name w:val="toc 5"/>
    <w:basedOn w:val="Normal"/>
    <w:next w:val="Normal"/>
    <w:autoRedefine/>
    <w:uiPriority w:val="39"/>
    <w:semiHidden/>
    <w:unhideWhenUsed/>
    <w:rsid w:val="00BE28F6"/>
    <w:pPr>
      <w:spacing w:after="100"/>
      <w:ind w:left="878" w:right="432"/>
    </w:pPr>
  </w:style>
  <w:style w:type="paragraph" w:customStyle="1" w:styleId="994Date">
    <w:name w:val="99.4 Date"/>
    <w:basedOn w:val="992Subtitle"/>
    <w:rsid w:val="00BE28F6"/>
    <w:rPr>
      <w:sz w:val="24"/>
    </w:rPr>
  </w:style>
  <w:style w:type="paragraph" w:styleId="BodyText">
    <w:name w:val="Body Text"/>
    <w:basedOn w:val="Normal"/>
    <w:link w:val="BodyTextChar"/>
    <w:uiPriority w:val="99"/>
    <w:semiHidden/>
    <w:unhideWhenUsed/>
    <w:rsid w:val="00BE28F6"/>
  </w:style>
  <w:style w:type="character" w:customStyle="1" w:styleId="BodyTextChar">
    <w:name w:val="Body Text Char"/>
    <w:basedOn w:val="DefaultParagraphFont"/>
    <w:link w:val="BodyText"/>
    <w:uiPriority w:val="99"/>
    <w:semiHidden/>
    <w:rsid w:val="00BE28F6"/>
    <w:rPr>
      <w:rFonts w:eastAsia="Times New Roman" w:cs="Times New Roman"/>
      <w:szCs w:val="20"/>
      <w:lang w:val="en-US"/>
    </w:rPr>
  </w:style>
  <w:style w:type="numbering" w:styleId="111111">
    <w:name w:val="Outline List 2"/>
    <w:basedOn w:val="NoList"/>
    <w:uiPriority w:val="99"/>
    <w:semiHidden/>
    <w:unhideWhenUsed/>
    <w:rsid w:val="00BE28F6"/>
    <w:pPr>
      <w:numPr>
        <w:numId w:val="43"/>
      </w:numPr>
    </w:pPr>
  </w:style>
  <w:style w:type="numbering" w:styleId="1ai">
    <w:name w:val="Outline List 1"/>
    <w:basedOn w:val="NoList"/>
    <w:uiPriority w:val="99"/>
    <w:semiHidden/>
    <w:unhideWhenUsed/>
    <w:rsid w:val="00BE28F6"/>
    <w:pPr>
      <w:numPr>
        <w:numId w:val="44"/>
      </w:numPr>
    </w:pPr>
  </w:style>
  <w:style w:type="numbering" w:styleId="ArticleSection">
    <w:name w:val="Outline List 3"/>
    <w:basedOn w:val="NoList"/>
    <w:uiPriority w:val="99"/>
    <w:semiHidden/>
    <w:unhideWhenUsed/>
    <w:rsid w:val="00BE28F6"/>
    <w:pPr>
      <w:numPr>
        <w:numId w:val="45"/>
      </w:numPr>
    </w:pPr>
  </w:style>
  <w:style w:type="paragraph" w:styleId="Bibliography">
    <w:name w:val="Bibliography"/>
    <w:basedOn w:val="Normal"/>
    <w:next w:val="Normal"/>
    <w:uiPriority w:val="37"/>
    <w:semiHidden/>
    <w:unhideWhenUsed/>
    <w:rsid w:val="00BE28F6"/>
  </w:style>
  <w:style w:type="paragraph" w:styleId="BlockText">
    <w:name w:val="Block Text"/>
    <w:basedOn w:val="Normal"/>
    <w:uiPriority w:val="99"/>
    <w:semiHidden/>
    <w:unhideWhenUsed/>
    <w:rsid w:val="00BE28F6"/>
    <w:pPr>
      <w:pBdr>
        <w:top w:val="single" w:sz="2" w:space="10" w:color="051C2C" w:themeColor="accent1"/>
        <w:left w:val="single" w:sz="2" w:space="10" w:color="051C2C" w:themeColor="accent1"/>
        <w:bottom w:val="single" w:sz="2" w:space="10" w:color="051C2C" w:themeColor="accent1"/>
        <w:right w:val="single" w:sz="2" w:space="10" w:color="051C2C" w:themeColor="accent1"/>
      </w:pBdr>
      <w:ind w:left="1152" w:right="1152"/>
    </w:pPr>
    <w:rPr>
      <w:rFonts w:eastAsiaTheme="minorEastAsia" w:cstheme="minorBidi"/>
      <w:i/>
      <w:iCs/>
      <w:color w:val="051C2C" w:themeColor="accent1"/>
    </w:rPr>
  </w:style>
  <w:style w:type="paragraph" w:styleId="BodyText2">
    <w:name w:val="Body Text 2"/>
    <w:basedOn w:val="Normal"/>
    <w:link w:val="BodyText2Char"/>
    <w:uiPriority w:val="99"/>
    <w:semiHidden/>
    <w:unhideWhenUsed/>
    <w:rsid w:val="00BE28F6"/>
    <w:pPr>
      <w:spacing w:after="120" w:line="480" w:lineRule="auto"/>
    </w:pPr>
  </w:style>
  <w:style w:type="character" w:customStyle="1" w:styleId="BodyText2Char">
    <w:name w:val="Body Text 2 Char"/>
    <w:basedOn w:val="DefaultParagraphFont"/>
    <w:link w:val="BodyText2"/>
    <w:uiPriority w:val="99"/>
    <w:semiHidden/>
    <w:rsid w:val="00BE28F6"/>
    <w:rPr>
      <w:rFonts w:eastAsia="Times New Roman" w:cs="Times New Roman"/>
      <w:szCs w:val="20"/>
      <w:lang w:val="en-US"/>
    </w:rPr>
  </w:style>
  <w:style w:type="paragraph" w:styleId="BodyText3">
    <w:name w:val="Body Text 3"/>
    <w:basedOn w:val="Normal"/>
    <w:link w:val="BodyText3Char"/>
    <w:uiPriority w:val="99"/>
    <w:semiHidden/>
    <w:unhideWhenUsed/>
    <w:rsid w:val="00BE28F6"/>
    <w:pPr>
      <w:spacing w:after="120"/>
    </w:pPr>
    <w:rPr>
      <w:sz w:val="16"/>
      <w:szCs w:val="16"/>
    </w:rPr>
  </w:style>
  <w:style w:type="character" w:customStyle="1" w:styleId="BodyText3Char">
    <w:name w:val="Body Text 3 Char"/>
    <w:basedOn w:val="DefaultParagraphFont"/>
    <w:link w:val="BodyText3"/>
    <w:uiPriority w:val="99"/>
    <w:semiHidden/>
    <w:rsid w:val="00BE28F6"/>
    <w:rPr>
      <w:rFonts w:eastAsia="Times New Roman" w:cs="Times New Roman"/>
      <w:sz w:val="16"/>
      <w:szCs w:val="16"/>
      <w:lang w:val="en-US"/>
    </w:rPr>
  </w:style>
  <w:style w:type="paragraph" w:styleId="BodyTextFirstIndent">
    <w:name w:val="Body Text First Indent"/>
    <w:basedOn w:val="BodyText"/>
    <w:link w:val="BodyTextFirstIndentChar"/>
    <w:uiPriority w:val="99"/>
    <w:semiHidden/>
    <w:unhideWhenUsed/>
    <w:rsid w:val="00BE28F6"/>
    <w:pPr>
      <w:ind w:firstLine="360"/>
    </w:pPr>
  </w:style>
  <w:style w:type="character" w:customStyle="1" w:styleId="BodyTextFirstIndentChar">
    <w:name w:val="Body Text First Indent Char"/>
    <w:basedOn w:val="BodyTextChar"/>
    <w:link w:val="BodyTextFirstIndent"/>
    <w:uiPriority w:val="99"/>
    <w:semiHidden/>
    <w:rsid w:val="00BE28F6"/>
    <w:rPr>
      <w:rFonts w:eastAsia="Times New Roman" w:cs="Times New Roman"/>
      <w:szCs w:val="20"/>
      <w:lang w:val="en-US"/>
    </w:rPr>
  </w:style>
  <w:style w:type="paragraph" w:styleId="BodyTextIndent">
    <w:name w:val="Body Text Indent"/>
    <w:basedOn w:val="Normal"/>
    <w:link w:val="BodyTextIndentChar"/>
    <w:uiPriority w:val="99"/>
    <w:semiHidden/>
    <w:unhideWhenUsed/>
    <w:rsid w:val="00BE28F6"/>
    <w:pPr>
      <w:spacing w:after="120"/>
      <w:ind w:left="283"/>
    </w:pPr>
  </w:style>
  <w:style w:type="character" w:customStyle="1" w:styleId="BodyTextIndentChar">
    <w:name w:val="Body Text Indent Char"/>
    <w:basedOn w:val="DefaultParagraphFont"/>
    <w:link w:val="BodyTextIndent"/>
    <w:uiPriority w:val="99"/>
    <w:semiHidden/>
    <w:rsid w:val="00BE28F6"/>
    <w:rPr>
      <w:rFonts w:eastAsia="Times New Roman" w:cs="Times New Roman"/>
      <w:szCs w:val="20"/>
      <w:lang w:val="en-US"/>
    </w:rPr>
  </w:style>
  <w:style w:type="paragraph" w:styleId="BodyTextFirstIndent2">
    <w:name w:val="Body Text First Indent 2"/>
    <w:basedOn w:val="BodyTextIndent"/>
    <w:link w:val="BodyTextFirstIndent2Char"/>
    <w:uiPriority w:val="99"/>
    <w:semiHidden/>
    <w:unhideWhenUsed/>
    <w:rsid w:val="00BE28F6"/>
    <w:pPr>
      <w:spacing w:after="180"/>
      <w:ind w:left="360" w:firstLine="360"/>
    </w:pPr>
  </w:style>
  <w:style w:type="character" w:customStyle="1" w:styleId="BodyTextFirstIndent2Char">
    <w:name w:val="Body Text First Indent 2 Char"/>
    <w:basedOn w:val="BodyTextIndentChar"/>
    <w:link w:val="BodyTextFirstIndent2"/>
    <w:uiPriority w:val="99"/>
    <w:semiHidden/>
    <w:rsid w:val="00BE28F6"/>
    <w:rPr>
      <w:rFonts w:eastAsia="Times New Roman" w:cs="Times New Roman"/>
      <w:szCs w:val="20"/>
      <w:lang w:val="en-US"/>
    </w:rPr>
  </w:style>
  <w:style w:type="paragraph" w:styleId="BodyTextIndent2">
    <w:name w:val="Body Text Indent 2"/>
    <w:basedOn w:val="Normal"/>
    <w:link w:val="BodyTextIndent2Char"/>
    <w:uiPriority w:val="99"/>
    <w:semiHidden/>
    <w:unhideWhenUsed/>
    <w:rsid w:val="00BE28F6"/>
    <w:pPr>
      <w:spacing w:after="120" w:line="480" w:lineRule="auto"/>
      <w:ind w:left="283"/>
    </w:pPr>
  </w:style>
  <w:style w:type="character" w:customStyle="1" w:styleId="BodyTextIndent2Char">
    <w:name w:val="Body Text Indent 2 Char"/>
    <w:basedOn w:val="DefaultParagraphFont"/>
    <w:link w:val="BodyTextIndent2"/>
    <w:uiPriority w:val="99"/>
    <w:semiHidden/>
    <w:rsid w:val="00BE28F6"/>
    <w:rPr>
      <w:rFonts w:eastAsia="Times New Roman" w:cs="Times New Roman"/>
      <w:szCs w:val="20"/>
      <w:lang w:val="en-US"/>
    </w:rPr>
  </w:style>
  <w:style w:type="paragraph" w:styleId="BodyTextIndent3">
    <w:name w:val="Body Text Indent 3"/>
    <w:basedOn w:val="Normal"/>
    <w:link w:val="BodyTextIndent3Char"/>
    <w:uiPriority w:val="99"/>
    <w:semiHidden/>
    <w:unhideWhenUsed/>
    <w:rsid w:val="00BE28F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E28F6"/>
    <w:rPr>
      <w:rFonts w:eastAsia="Times New Roman" w:cs="Times New Roman"/>
      <w:sz w:val="16"/>
      <w:szCs w:val="16"/>
      <w:lang w:val="en-US"/>
    </w:rPr>
  </w:style>
  <w:style w:type="character" w:styleId="BookTitle">
    <w:name w:val="Book Title"/>
    <w:basedOn w:val="DefaultParagraphFont"/>
    <w:uiPriority w:val="33"/>
    <w:rsid w:val="00BE28F6"/>
    <w:rPr>
      <w:b/>
      <w:bCs/>
      <w:i/>
      <w:iCs/>
      <w:spacing w:val="5"/>
    </w:rPr>
  </w:style>
  <w:style w:type="paragraph" w:styleId="Caption">
    <w:name w:val="caption"/>
    <w:basedOn w:val="Normal"/>
    <w:next w:val="Normal"/>
    <w:uiPriority w:val="35"/>
    <w:semiHidden/>
    <w:unhideWhenUsed/>
    <w:rsid w:val="00BE28F6"/>
    <w:pPr>
      <w:spacing w:after="200" w:line="240" w:lineRule="auto"/>
    </w:pPr>
    <w:rPr>
      <w:i/>
      <w:iCs/>
      <w:color w:val="051C2C" w:themeColor="text2"/>
      <w:sz w:val="18"/>
      <w:szCs w:val="18"/>
    </w:rPr>
  </w:style>
  <w:style w:type="paragraph" w:styleId="Closing">
    <w:name w:val="Closing"/>
    <w:basedOn w:val="Normal"/>
    <w:link w:val="ClosingChar"/>
    <w:uiPriority w:val="99"/>
    <w:semiHidden/>
    <w:unhideWhenUsed/>
    <w:rsid w:val="00BE28F6"/>
    <w:pPr>
      <w:spacing w:after="0" w:line="240" w:lineRule="auto"/>
      <w:ind w:left="4252"/>
    </w:pPr>
  </w:style>
  <w:style w:type="character" w:customStyle="1" w:styleId="ClosingChar">
    <w:name w:val="Closing Char"/>
    <w:basedOn w:val="DefaultParagraphFont"/>
    <w:link w:val="Closing"/>
    <w:uiPriority w:val="99"/>
    <w:semiHidden/>
    <w:rsid w:val="00BE28F6"/>
    <w:rPr>
      <w:rFonts w:eastAsia="Times New Roman" w:cs="Times New Roman"/>
      <w:szCs w:val="20"/>
      <w:lang w:val="en-US"/>
    </w:rPr>
  </w:style>
  <w:style w:type="table" w:styleId="ColorfulGrid">
    <w:name w:val="Colorful Grid"/>
    <w:basedOn w:val="TableNormal"/>
    <w:uiPriority w:val="73"/>
    <w:semiHidden/>
    <w:unhideWhenUsed/>
    <w:rsid w:val="00BE2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BE2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CD7F5" w:themeFill="accent1" w:themeFillTint="33"/>
    </w:tcPr>
    <w:tblStylePr w:type="firstRow">
      <w:rPr>
        <w:b/>
        <w:bCs/>
      </w:rPr>
      <w:tblPr/>
      <w:tcPr>
        <w:shd w:val="clear" w:color="auto" w:fill="59AFEC" w:themeFill="accent1" w:themeFillTint="66"/>
      </w:tcPr>
    </w:tblStylePr>
    <w:tblStylePr w:type="lastRow">
      <w:rPr>
        <w:b/>
        <w:bCs/>
        <w:color w:val="000000" w:themeColor="text1"/>
      </w:rPr>
      <w:tblPr/>
      <w:tcPr>
        <w:shd w:val="clear" w:color="auto" w:fill="59AFEC" w:themeFill="accent1" w:themeFillTint="66"/>
      </w:tcPr>
    </w:tblStylePr>
    <w:tblStylePr w:type="firstCol">
      <w:rPr>
        <w:color w:val="FFFFFF" w:themeColor="background1"/>
      </w:rPr>
      <w:tblPr/>
      <w:tcPr>
        <w:shd w:val="clear" w:color="auto" w:fill="031420" w:themeFill="accent1" w:themeFillShade="BF"/>
      </w:tcPr>
    </w:tblStylePr>
    <w:tblStylePr w:type="lastCol">
      <w:rPr>
        <w:color w:val="FFFFFF" w:themeColor="background1"/>
      </w:rPr>
      <w:tblPr/>
      <w:tcPr>
        <w:shd w:val="clear" w:color="auto" w:fill="031420" w:themeFill="accent1" w:themeFillShade="BF"/>
      </w:tcPr>
    </w:tblStylePr>
    <w:tblStylePr w:type="band1Vert">
      <w:tblPr/>
      <w:tcPr>
        <w:shd w:val="clear" w:color="auto" w:fill="309CE7" w:themeFill="accent1" w:themeFillTint="7F"/>
      </w:tcPr>
    </w:tblStylePr>
    <w:tblStylePr w:type="band1Horz">
      <w:tblPr/>
      <w:tcPr>
        <w:shd w:val="clear" w:color="auto" w:fill="309CE7" w:themeFill="accent1" w:themeFillTint="7F"/>
      </w:tcPr>
    </w:tblStylePr>
  </w:style>
  <w:style w:type="table" w:styleId="ColorfulGrid-Accent2">
    <w:name w:val="Colorful Grid Accent 2"/>
    <w:basedOn w:val="TableNormal"/>
    <w:uiPriority w:val="73"/>
    <w:semiHidden/>
    <w:unhideWhenUsed/>
    <w:rsid w:val="00BE2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EEFF" w:themeFill="accent2" w:themeFillTint="33"/>
    </w:tcPr>
    <w:tblStylePr w:type="firstRow">
      <w:rPr>
        <w:b/>
        <w:bCs/>
      </w:rPr>
      <w:tblPr/>
      <w:tcPr>
        <w:shd w:val="clear" w:color="auto" w:fill="94DDFF" w:themeFill="accent2" w:themeFillTint="66"/>
      </w:tcPr>
    </w:tblStylePr>
    <w:tblStylePr w:type="lastRow">
      <w:rPr>
        <w:b/>
        <w:bCs/>
        <w:color w:val="000000" w:themeColor="text1"/>
      </w:rPr>
      <w:tblPr/>
      <w:tcPr>
        <w:shd w:val="clear" w:color="auto" w:fill="94DDFF" w:themeFill="accent2" w:themeFillTint="66"/>
      </w:tcPr>
    </w:tblStylePr>
    <w:tblStylePr w:type="firstCol">
      <w:rPr>
        <w:color w:val="FFFFFF" w:themeColor="background1"/>
      </w:rPr>
      <w:tblPr/>
      <w:tcPr>
        <w:shd w:val="clear" w:color="auto" w:fill="007EB6" w:themeFill="accent2" w:themeFillShade="BF"/>
      </w:tcPr>
    </w:tblStylePr>
    <w:tblStylePr w:type="lastCol">
      <w:rPr>
        <w:color w:val="FFFFFF" w:themeColor="background1"/>
      </w:rPr>
      <w:tblPr/>
      <w:tcPr>
        <w:shd w:val="clear" w:color="auto" w:fill="007EB6" w:themeFill="accent2" w:themeFillShade="BF"/>
      </w:tcPr>
    </w:tblStylePr>
    <w:tblStylePr w:type="band1Vert">
      <w:tblPr/>
      <w:tcPr>
        <w:shd w:val="clear" w:color="auto" w:fill="7AD5FF" w:themeFill="accent2" w:themeFillTint="7F"/>
      </w:tcPr>
    </w:tblStylePr>
    <w:tblStylePr w:type="band1Horz">
      <w:tblPr/>
      <w:tcPr>
        <w:shd w:val="clear" w:color="auto" w:fill="7AD5FF" w:themeFill="accent2" w:themeFillTint="7F"/>
      </w:tcPr>
    </w:tblStylePr>
  </w:style>
  <w:style w:type="table" w:styleId="ColorfulGrid-Accent3">
    <w:name w:val="Colorful Grid Accent 3"/>
    <w:basedOn w:val="TableNormal"/>
    <w:uiPriority w:val="73"/>
    <w:semiHidden/>
    <w:unhideWhenUsed/>
    <w:rsid w:val="00BE2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2DCFF" w:themeFill="accent3" w:themeFillTint="33"/>
    </w:tcPr>
    <w:tblStylePr w:type="firstRow">
      <w:rPr>
        <w:b/>
        <w:bCs/>
      </w:rPr>
      <w:tblPr/>
      <w:tcPr>
        <w:shd w:val="clear" w:color="auto" w:fill="A6B9FF" w:themeFill="accent3" w:themeFillTint="66"/>
      </w:tcPr>
    </w:tblStylePr>
    <w:tblStylePr w:type="lastRow">
      <w:rPr>
        <w:b/>
        <w:bCs/>
        <w:color w:val="000000" w:themeColor="text1"/>
      </w:rPr>
      <w:tblPr/>
      <w:tcPr>
        <w:shd w:val="clear" w:color="auto" w:fill="A6B9FF" w:themeFill="accent3" w:themeFillTint="66"/>
      </w:tcPr>
    </w:tblStylePr>
    <w:tblStylePr w:type="firstCol">
      <w:rPr>
        <w:color w:val="FFFFFF" w:themeColor="background1"/>
      </w:rPr>
      <w:tblPr/>
      <w:tcPr>
        <w:shd w:val="clear" w:color="auto" w:fill="002DD8" w:themeFill="accent3" w:themeFillShade="BF"/>
      </w:tcPr>
    </w:tblStylePr>
    <w:tblStylePr w:type="lastCol">
      <w:rPr>
        <w:color w:val="FFFFFF" w:themeColor="background1"/>
      </w:rPr>
      <w:tblPr/>
      <w:tcPr>
        <w:shd w:val="clear" w:color="auto" w:fill="002DD8" w:themeFill="accent3" w:themeFillShade="BF"/>
      </w:tcPr>
    </w:tblStylePr>
    <w:tblStylePr w:type="band1Vert">
      <w:tblPr/>
      <w:tcPr>
        <w:shd w:val="clear" w:color="auto" w:fill="90A8FF" w:themeFill="accent3" w:themeFillTint="7F"/>
      </w:tcPr>
    </w:tblStylePr>
    <w:tblStylePr w:type="band1Horz">
      <w:tblPr/>
      <w:tcPr>
        <w:shd w:val="clear" w:color="auto" w:fill="90A8FF" w:themeFill="accent3" w:themeFillTint="7F"/>
      </w:tcPr>
    </w:tblStylePr>
  </w:style>
  <w:style w:type="table" w:styleId="ColorfulGrid-Accent4">
    <w:name w:val="Colorful Grid Accent 4"/>
    <w:basedOn w:val="TableNormal"/>
    <w:uiPriority w:val="73"/>
    <w:semiHidden/>
    <w:unhideWhenUsed/>
    <w:rsid w:val="00BE2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F9FC" w:themeFill="accent4" w:themeFillTint="33"/>
    </w:tcPr>
    <w:tblStylePr w:type="firstRow">
      <w:rPr>
        <w:b/>
        <w:bCs/>
      </w:rPr>
      <w:tblPr/>
      <w:tcPr>
        <w:shd w:val="clear" w:color="auto" w:fill="DDF4F9" w:themeFill="accent4" w:themeFillTint="66"/>
      </w:tcPr>
    </w:tblStylePr>
    <w:tblStylePr w:type="lastRow">
      <w:rPr>
        <w:b/>
        <w:bCs/>
        <w:color w:val="000000" w:themeColor="text1"/>
      </w:rPr>
      <w:tblPr/>
      <w:tcPr>
        <w:shd w:val="clear" w:color="auto" w:fill="DDF4F9" w:themeFill="accent4" w:themeFillTint="66"/>
      </w:tcPr>
    </w:tblStylePr>
    <w:tblStylePr w:type="firstCol">
      <w:rPr>
        <w:color w:val="FFFFFF" w:themeColor="background1"/>
      </w:rPr>
      <w:tblPr/>
      <w:tcPr>
        <w:shd w:val="clear" w:color="auto" w:fill="52CCE0" w:themeFill="accent4" w:themeFillShade="BF"/>
      </w:tcPr>
    </w:tblStylePr>
    <w:tblStylePr w:type="lastCol">
      <w:rPr>
        <w:color w:val="FFFFFF" w:themeColor="background1"/>
      </w:rPr>
      <w:tblPr/>
      <w:tcPr>
        <w:shd w:val="clear" w:color="auto" w:fill="52CCE0" w:themeFill="accent4" w:themeFillShade="BF"/>
      </w:tcPr>
    </w:tblStylePr>
    <w:tblStylePr w:type="band1Vert">
      <w:tblPr/>
      <w:tcPr>
        <w:shd w:val="clear" w:color="auto" w:fill="D4F2F7" w:themeFill="accent4" w:themeFillTint="7F"/>
      </w:tcPr>
    </w:tblStylePr>
    <w:tblStylePr w:type="band1Horz">
      <w:tblPr/>
      <w:tcPr>
        <w:shd w:val="clear" w:color="auto" w:fill="D4F2F7" w:themeFill="accent4" w:themeFillTint="7F"/>
      </w:tcPr>
    </w:tblStylePr>
  </w:style>
  <w:style w:type="table" w:styleId="ColorfulGrid-Accent5">
    <w:name w:val="Colorful Grid Accent 5"/>
    <w:basedOn w:val="TableNormal"/>
    <w:uiPriority w:val="73"/>
    <w:semiHidden/>
    <w:unhideWhenUsed/>
    <w:rsid w:val="00BE2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EAF1" w:themeFill="accent5" w:themeFillTint="33"/>
    </w:tcPr>
    <w:tblStylePr w:type="firstRow">
      <w:rPr>
        <w:b/>
        <w:bCs/>
      </w:rPr>
      <w:tblPr/>
      <w:tcPr>
        <w:shd w:val="clear" w:color="auto" w:fill="AED6E4" w:themeFill="accent5" w:themeFillTint="66"/>
      </w:tcPr>
    </w:tblStylePr>
    <w:tblStylePr w:type="lastRow">
      <w:rPr>
        <w:b/>
        <w:bCs/>
        <w:color w:val="000000" w:themeColor="text1"/>
      </w:rPr>
      <w:tblPr/>
      <w:tcPr>
        <w:shd w:val="clear" w:color="auto" w:fill="AED6E4" w:themeFill="accent5" w:themeFillTint="66"/>
      </w:tcPr>
    </w:tblStylePr>
    <w:tblStylePr w:type="firstCol">
      <w:rPr>
        <w:color w:val="FFFFFF" w:themeColor="background1"/>
      </w:rPr>
      <w:tblPr/>
      <w:tcPr>
        <w:shd w:val="clear" w:color="auto" w:fill="2D7086" w:themeFill="accent5" w:themeFillShade="BF"/>
      </w:tcPr>
    </w:tblStylePr>
    <w:tblStylePr w:type="lastCol">
      <w:rPr>
        <w:color w:val="FFFFFF" w:themeColor="background1"/>
      </w:rPr>
      <w:tblPr/>
      <w:tcPr>
        <w:shd w:val="clear" w:color="auto" w:fill="2D7086" w:themeFill="accent5" w:themeFillShade="BF"/>
      </w:tcPr>
    </w:tblStylePr>
    <w:tblStylePr w:type="band1Vert">
      <w:tblPr/>
      <w:tcPr>
        <w:shd w:val="clear" w:color="auto" w:fill="9ACCDD" w:themeFill="accent5" w:themeFillTint="7F"/>
      </w:tcPr>
    </w:tblStylePr>
    <w:tblStylePr w:type="band1Horz">
      <w:tblPr/>
      <w:tcPr>
        <w:shd w:val="clear" w:color="auto" w:fill="9ACCDD" w:themeFill="accent5" w:themeFillTint="7F"/>
      </w:tcPr>
    </w:tblStylePr>
  </w:style>
  <w:style w:type="table" w:styleId="ColorfulGrid-Accent6">
    <w:name w:val="Colorful Grid Accent 6"/>
    <w:basedOn w:val="TableNormal"/>
    <w:uiPriority w:val="73"/>
    <w:rsid w:val="00BE2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F2FF" w:themeFill="accent6" w:themeFillTint="33"/>
    </w:tcPr>
    <w:tblStylePr w:type="firstRow">
      <w:rPr>
        <w:b/>
        <w:bCs/>
      </w:rPr>
      <w:tblPr/>
      <w:tcPr>
        <w:shd w:val="clear" w:color="auto" w:fill="DFE6FF" w:themeFill="accent6" w:themeFillTint="66"/>
      </w:tcPr>
    </w:tblStylePr>
    <w:tblStylePr w:type="lastRow">
      <w:rPr>
        <w:b/>
        <w:bCs/>
        <w:color w:val="000000" w:themeColor="text1"/>
      </w:rPr>
      <w:tblPr/>
      <w:tcPr>
        <w:shd w:val="clear" w:color="auto" w:fill="DFE6FF" w:themeFill="accent6" w:themeFillTint="66"/>
      </w:tcPr>
    </w:tblStylePr>
    <w:tblStylePr w:type="firstCol">
      <w:rPr>
        <w:color w:val="FFFFFF" w:themeColor="background1"/>
      </w:rPr>
      <w:tblPr/>
      <w:tcPr>
        <w:shd w:val="clear" w:color="auto" w:fill="4371FF" w:themeFill="accent6" w:themeFillShade="BF"/>
      </w:tcPr>
    </w:tblStylePr>
    <w:tblStylePr w:type="lastCol">
      <w:rPr>
        <w:color w:val="FFFFFF" w:themeColor="background1"/>
      </w:rPr>
      <w:tblPr/>
      <w:tcPr>
        <w:shd w:val="clear" w:color="auto" w:fill="4371FF" w:themeFill="accent6" w:themeFillShade="BF"/>
      </w:tcPr>
    </w:tblStylePr>
    <w:tblStylePr w:type="band1Vert">
      <w:tblPr/>
      <w:tcPr>
        <w:shd w:val="clear" w:color="auto" w:fill="D7E0FF" w:themeFill="accent6" w:themeFillTint="7F"/>
      </w:tcPr>
    </w:tblStylePr>
    <w:tblStylePr w:type="band1Horz">
      <w:tblPr/>
      <w:tcPr>
        <w:shd w:val="clear" w:color="auto" w:fill="D7E0FF" w:themeFill="accent6" w:themeFillTint="7F"/>
      </w:tcPr>
    </w:tblStylePr>
  </w:style>
  <w:style w:type="table" w:styleId="ColorfulList">
    <w:name w:val="Colorful List"/>
    <w:basedOn w:val="TableNormal"/>
    <w:uiPriority w:val="72"/>
    <w:semiHidden/>
    <w:unhideWhenUsed/>
    <w:rsid w:val="00BE28F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86C3" w:themeFill="accent2" w:themeFillShade="CC"/>
      </w:tcPr>
    </w:tblStylePr>
    <w:tblStylePr w:type="lastRow">
      <w:rPr>
        <w:b/>
        <w:bCs/>
        <w:color w:val="0086C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BE28F6"/>
    <w:pPr>
      <w:spacing w:after="0" w:line="240" w:lineRule="auto"/>
    </w:pPr>
    <w:rPr>
      <w:color w:val="000000" w:themeColor="text1"/>
    </w:rPr>
    <w:tblPr>
      <w:tblStyleRowBandSize w:val="1"/>
      <w:tblStyleColBandSize w:val="1"/>
    </w:tblPr>
    <w:tcPr>
      <w:shd w:val="clear" w:color="auto" w:fill="D6EBFA" w:themeFill="accent1" w:themeFillTint="19"/>
    </w:tcPr>
    <w:tblStylePr w:type="firstRow">
      <w:rPr>
        <w:b/>
        <w:bCs/>
        <w:color w:val="FFFFFF" w:themeColor="background1"/>
      </w:rPr>
      <w:tblPr/>
      <w:tcPr>
        <w:tcBorders>
          <w:bottom w:val="single" w:sz="12" w:space="0" w:color="FFFFFF" w:themeColor="background1"/>
        </w:tcBorders>
        <w:shd w:val="clear" w:color="auto" w:fill="0086C3" w:themeFill="accent2" w:themeFillShade="CC"/>
      </w:tcPr>
    </w:tblStylePr>
    <w:tblStylePr w:type="lastRow">
      <w:rPr>
        <w:b/>
        <w:bCs/>
        <w:color w:val="0086C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8CEF3" w:themeFill="accent1" w:themeFillTint="3F"/>
      </w:tcPr>
    </w:tblStylePr>
    <w:tblStylePr w:type="band1Horz">
      <w:tblPr/>
      <w:tcPr>
        <w:shd w:val="clear" w:color="auto" w:fill="ACD7F5" w:themeFill="accent1" w:themeFillTint="33"/>
      </w:tcPr>
    </w:tblStylePr>
  </w:style>
  <w:style w:type="table" w:styleId="ColorfulList-Accent2">
    <w:name w:val="Colorful List Accent 2"/>
    <w:basedOn w:val="TableNormal"/>
    <w:uiPriority w:val="72"/>
    <w:semiHidden/>
    <w:unhideWhenUsed/>
    <w:rsid w:val="00BE28F6"/>
    <w:pPr>
      <w:spacing w:after="0" w:line="240" w:lineRule="auto"/>
    </w:pPr>
    <w:rPr>
      <w:color w:val="000000" w:themeColor="text1"/>
    </w:rPr>
    <w:tblPr>
      <w:tblStyleRowBandSize w:val="1"/>
      <w:tblStyleColBandSize w:val="1"/>
    </w:tblPr>
    <w:tcPr>
      <w:shd w:val="clear" w:color="auto" w:fill="E4F6FF" w:themeFill="accent2" w:themeFillTint="19"/>
    </w:tcPr>
    <w:tblStylePr w:type="firstRow">
      <w:rPr>
        <w:b/>
        <w:bCs/>
        <w:color w:val="FFFFFF" w:themeColor="background1"/>
      </w:rPr>
      <w:tblPr/>
      <w:tcPr>
        <w:tcBorders>
          <w:bottom w:val="single" w:sz="12" w:space="0" w:color="FFFFFF" w:themeColor="background1"/>
        </w:tcBorders>
        <w:shd w:val="clear" w:color="auto" w:fill="0086C3" w:themeFill="accent2" w:themeFillShade="CC"/>
      </w:tcPr>
    </w:tblStylePr>
    <w:tblStylePr w:type="lastRow">
      <w:rPr>
        <w:b/>
        <w:bCs/>
        <w:color w:val="0086C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AFF" w:themeFill="accent2" w:themeFillTint="3F"/>
      </w:tcPr>
    </w:tblStylePr>
    <w:tblStylePr w:type="band1Horz">
      <w:tblPr/>
      <w:tcPr>
        <w:shd w:val="clear" w:color="auto" w:fill="C9EEFF" w:themeFill="accent2" w:themeFillTint="33"/>
      </w:tcPr>
    </w:tblStylePr>
  </w:style>
  <w:style w:type="table" w:styleId="ColorfulList-Accent3">
    <w:name w:val="Colorful List Accent 3"/>
    <w:basedOn w:val="TableNormal"/>
    <w:uiPriority w:val="72"/>
    <w:semiHidden/>
    <w:unhideWhenUsed/>
    <w:rsid w:val="00BE28F6"/>
    <w:pPr>
      <w:spacing w:after="0" w:line="240" w:lineRule="auto"/>
    </w:pPr>
    <w:rPr>
      <w:color w:val="000000" w:themeColor="text1"/>
    </w:rPr>
    <w:tblPr>
      <w:tblStyleRowBandSize w:val="1"/>
      <w:tblStyleColBandSize w:val="1"/>
    </w:tblPr>
    <w:tcPr>
      <w:shd w:val="clear" w:color="auto" w:fill="E9EDFF" w:themeFill="accent3" w:themeFillTint="19"/>
    </w:tcPr>
    <w:tblStylePr w:type="firstRow">
      <w:rPr>
        <w:b/>
        <w:bCs/>
        <w:color w:val="FFFFFF" w:themeColor="background1"/>
      </w:rPr>
      <w:tblPr/>
      <w:tcPr>
        <w:tcBorders>
          <w:bottom w:val="single" w:sz="12" w:space="0" w:color="FFFFFF" w:themeColor="background1"/>
        </w:tcBorders>
        <w:shd w:val="clear" w:color="auto" w:fill="64D1E3" w:themeFill="accent4" w:themeFillShade="CC"/>
      </w:tcPr>
    </w:tblStylePr>
    <w:tblStylePr w:type="lastRow">
      <w:rPr>
        <w:b/>
        <w:bCs/>
        <w:color w:val="64D1E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D3FF" w:themeFill="accent3" w:themeFillTint="3F"/>
      </w:tcPr>
    </w:tblStylePr>
    <w:tblStylePr w:type="band1Horz">
      <w:tblPr/>
      <w:tcPr>
        <w:shd w:val="clear" w:color="auto" w:fill="D2DCFF" w:themeFill="accent3" w:themeFillTint="33"/>
      </w:tcPr>
    </w:tblStylePr>
  </w:style>
  <w:style w:type="table" w:styleId="ColorfulList-Accent4">
    <w:name w:val="Colorful List Accent 4"/>
    <w:basedOn w:val="TableNormal"/>
    <w:uiPriority w:val="72"/>
    <w:semiHidden/>
    <w:unhideWhenUsed/>
    <w:rsid w:val="00BE28F6"/>
    <w:pPr>
      <w:spacing w:after="0" w:line="240" w:lineRule="auto"/>
    </w:pPr>
    <w:rPr>
      <w:color w:val="000000" w:themeColor="text1"/>
    </w:rPr>
    <w:tblPr>
      <w:tblStyleRowBandSize w:val="1"/>
      <w:tblStyleColBandSize w:val="1"/>
    </w:tblPr>
    <w:tcPr>
      <w:shd w:val="clear" w:color="auto" w:fill="F6FCFD" w:themeFill="accent4" w:themeFillTint="19"/>
    </w:tcPr>
    <w:tblStylePr w:type="firstRow">
      <w:rPr>
        <w:b/>
        <w:bCs/>
        <w:color w:val="FFFFFF" w:themeColor="background1"/>
      </w:rPr>
      <w:tblPr/>
      <w:tcPr>
        <w:tcBorders>
          <w:bottom w:val="single" w:sz="12" w:space="0" w:color="FFFFFF" w:themeColor="background1"/>
        </w:tcBorders>
        <w:shd w:val="clear" w:color="auto" w:fill="0030E7" w:themeFill="accent3" w:themeFillShade="CC"/>
      </w:tcPr>
    </w:tblStylePr>
    <w:tblStylePr w:type="lastRow">
      <w:rPr>
        <w:b/>
        <w:bCs/>
        <w:color w:val="0030E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8FB" w:themeFill="accent4" w:themeFillTint="3F"/>
      </w:tcPr>
    </w:tblStylePr>
    <w:tblStylePr w:type="band1Horz">
      <w:tblPr/>
      <w:tcPr>
        <w:shd w:val="clear" w:color="auto" w:fill="EEF9FC" w:themeFill="accent4" w:themeFillTint="33"/>
      </w:tcPr>
    </w:tblStylePr>
  </w:style>
  <w:style w:type="table" w:styleId="ColorfulList-Accent5">
    <w:name w:val="Colorful List Accent 5"/>
    <w:basedOn w:val="TableNormal"/>
    <w:uiPriority w:val="72"/>
    <w:semiHidden/>
    <w:unhideWhenUsed/>
    <w:rsid w:val="00BE28F6"/>
    <w:pPr>
      <w:spacing w:after="0" w:line="240" w:lineRule="auto"/>
    </w:pPr>
    <w:rPr>
      <w:color w:val="000000" w:themeColor="text1"/>
    </w:rPr>
    <w:tblPr>
      <w:tblStyleRowBandSize w:val="1"/>
      <w:tblStyleColBandSize w:val="1"/>
    </w:tblPr>
    <w:tcPr>
      <w:shd w:val="clear" w:color="auto" w:fill="EBF4F8" w:themeFill="accent5" w:themeFillTint="19"/>
    </w:tcPr>
    <w:tblStylePr w:type="firstRow">
      <w:rPr>
        <w:b/>
        <w:bCs/>
        <w:color w:val="FFFFFF" w:themeColor="background1"/>
      </w:rPr>
      <w:tblPr/>
      <w:tcPr>
        <w:tcBorders>
          <w:bottom w:val="single" w:sz="12" w:space="0" w:color="FFFFFF" w:themeColor="background1"/>
        </w:tcBorders>
        <w:shd w:val="clear" w:color="auto" w:fill="5982FF" w:themeFill="accent6" w:themeFillShade="CC"/>
      </w:tcPr>
    </w:tblStylePr>
    <w:tblStylePr w:type="lastRow">
      <w:rPr>
        <w:b/>
        <w:bCs/>
        <w:color w:val="5982F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5EE" w:themeFill="accent5" w:themeFillTint="3F"/>
      </w:tcPr>
    </w:tblStylePr>
    <w:tblStylePr w:type="band1Horz">
      <w:tblPr/>
      <w:tcPr>
        <w:shd w:val="clear" w:color="auto" w:fill="D6EAF1" w:themeFill="accent5" w:themeFillTint="33"/>
      </w:tcPr>
    </w:tblStylePr>
  </w:style>
  <w:style w:type="table" w:styleId="ColorfulList-Accent6">
    <w:name w:val="Colorful List Accent 6"/>
    <w:basedOn w:val="TableNormal"/>
    <w:uiPriority w:val="72"/>
    <w:semiHidden/>
    <w:unhideWhenUsed/>
    <w:rsid w:val="00BE28F6"/>
    <w:pPr>
      <w:spacing w:after="0" w:line="240" w:lineRule="auto"/>
    </w:pPr>
    <w:rPr>
      <w:color w:val="000000" w:themeColor="text1"/>
    </w:rPr>
    <w:tblPr>
      <w:tblStyleRowBandSize w:val="1"/>
      <w:tblStyleColBandSize w:val="1"/>
    </w:tblPr>
    <w:tcPr>
      <w:shd w:val="clear" w:color="auto" w:fill="F7F8FF" w:themeFill="accent6" w:themeFillTint="19"/>
    </w:tcPr>
    <w:tblStylePr w:type="firstRow">
      <w:rPr>
        <w:b/>
        <w:bCs/>
        <w:color w:val="FFFFFF" w:themeColor="background1"/>
      </w:rPr>
      <w:tblPr/>
      <w:tcPr>
        <w:tcBorders>
          <w:bottom w:val="single" w:sz="12" w:space="0" w:color="FFFFFF" w:themeColor="background1"/>
        </w:tcBorders>
        <w:shd w:val="clear" w:color="auto" w:fill="307790" w:themeFill="accent5" w:themeFillShade="CC"/>
      </w:tcPr>
    </w:tblStylePr>
    <w:tblStylePr w:type="lastRow">
      <w:rPr>
        <w:b/>
        <w:bCs/>
        <w:color w:val="30779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FFF" w:themeFill="accent6" w:themeFillTint="3F"/>
      </w:tcPr>
    </w:tblStylePr>
    <w:tblStylePr w:type="band1Horz">
      <w:tblPr/>
      <w:tcPr>
        <w:shd w:val="clear" w:color="auto" w:fill="EFF2FF" w:themeFill="accent6" w:themeFillTint="33"/>
      </w:tcPr>
    </w:tblStylePr>
  </w:style>
  <w:style w:type="table" w:styleId="ColorfulShading">
    <w:name w:val="Colorful Shading"/>
    <w:basedOn w:val="TableNormal"/>
    <w:uiPriority w:val="71"/>
    <w:semiHidden/>
    <w:unhideWhenUsed/>
    <w:rsid w:val="00BE28F6"/>
    <w:pPr>
      <w:spacing w:after="0" w:line="240" w:lineRule="auto"/>
    </w:pPr>
    <w:rPr>
      <w:color w:val="000000" w:themeColor="text1"/>
    </w:rPr>
    <w:tblPr>
      <w:tblStyleRowBandSize w:val="1"/>
      <w:tblStyleColBandSize w:val="1"/>
      <w:tblBorders>
        <w:top w:val="single" w:sz="24" w:space="0" w:color="00A9F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A9F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BE28F6"/>
    <w:pPr>
      <w:spacing w:after="0" w:line="240" w:lineRule="auto"/>
    </w:pPr>
    <w:rPr>
      <w:color w:val="000000" w:themeColor="text1"/>
    </w:rPr>
    <w:tblPr>
      <w:tblStyleRowBandSize w:val="1"/>
      <w:tblStyleColBandSize w:val="1"/>
      <w:tblBorders>
        <w:top w:val="single" w:sz="24" w:space="0" w:color="00A9F4" w:themeColor="accent2"/>
        <w:left w:val="single" w:sz="4" w:space="0" w:color="051C2C" w:themeColor="accent1"/>
        <w:bottom w:val="single" w:sz="4" w:space="0" w:color="051C2C" w:themeColor="accent1"/>
        <w:right w:val="single" w:sz="4" w:space="0" w:color="051C2C" w:themeColor="accent1"/>
        <w:insideH w:val="single" w:sz="4" w:space="0" w:color="FFFFFF" w:themeColor="background1"/>
        <w:insideV w:val="single" w:sz="4" w:space="0" w:color="FFFFFF" w:themeColor="background1"/>
      </w:tblBorders>
    </w:tblPr>
    <w:tcPr>
      <w:shd w:val="clear" w:color="auto" w:fill="D6EBFA" w:themeFill="accent1" w:themeFillTint="19"/>
    </w:tcPr>
    <w:tblStylePr w:type="firstRow">
      <w:rPr>
        <w:b/>
        <w:bCs/>
      </w:rPr>
      <w:tblPr/>
      <w:tcPr>
        <w:tcBorders>
          <w:top w:val="nil"/>
          <w:left w:val="nil"/>
          <w:bottom w:val="single" w:sz="24" w:space="0" w:color="00A9F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101A" w:themeFill="accent1" w:themeFillShade="99"/>
      </w:tcPr>
    </w:tblStylePr>
    <w:tblStylePr w:type="firstCol">
      <w:rPr>
        <w:color w:val="FFFFFF" w:themeColor="background1"/>
      </w:rPr>
      <w:tblPr/>
      <w:tcPr>
        <w:tcBorders>
          <w:top w:val="nil"/>
          <w:left w:val="nil"/>
          <w:bottom w:val="nil"/>
          <w:right w:val="nil"/>
          <w:insideH w:val="single" w:sz="4" w:space="0" w:color="03101A" w:themeColor="accent1" w:themeShade="99"/>
          <w:insideV w:val="nil"/>
        </w:tcBorders>
        <w:shd w:val="clear" w:color="auto" w:fill="03101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3101A" w:themeFill="accent1" w:themeFillShade="99"/>
      </w:tcPr>
    </w:tblStylePr>
    <w:tblStylePr w:type="band1Vert">
      <w:tblPr/>
      <w:tcPr>
        <w:shd w:val="clear" w:color="auto" w:fill="59AFEC" w:themeFill="accent1" w:themeFillTint="66"/>
      </w:tcPr>
    </w:tblStylePr>
    <w:tblStylePr w:type="band1Horz">
      <w:tblPr/>
      <w:tcPr>
        <w:shd w:val="clear" w:color="auto" w:fill="309CE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BE28F6"/>
    <w:pPr>
      <w:spacing w:after="0" w:line="240" w:lineRule="auto"/>
    </w:pPr>
    <w:rPr>
      <w:color w:val="000000" w:themeColor="text1"/>
    </w:rPr>
    <w:tblPr>
      <w:tblStyleRowBandSize w:val="1"/>
      <w:tblStyleColBandSize w:val="1"/>
      <w:tblBorders>
        <w:top w:val="single" w:sz="24" w:space="0" w:color="00A9F4" w:themeColor="accent2"/>
        <w:left w:val="single" w:sz="4" w:space="0" w:color="00A9F4" w:themeColor="accent2"/>
        <w:bottom w:val="single" w:sz="4" w:space="0" w:color="00A9F4" w:themeColor="accent2"/>
        <w:right w:val="single" w:sz="4" w:space="0" w:color="00A9F4" w:themeColor="accent2"/>
        <w:insideH w:val="single" w:sz="4" w:space="0" w:color="FFFFFF" w:themeColor="background1"/>
        <w:insideV w:val="single" w:sz="4" w:space="0" w:color="FFFFFF" w:themeColor="background1"/>
      </w:tblBorders>
    </w:tblPr>
    <w:tcPr>
      <w:shd w:val="clear" w:color="auto" w:fill="E4F6FF" w:themeFill="accent2" w:themeFillTint="19"/>
    </w:tcPr>
    <w:tblStylePr w:type="firstRow">
      <w:rPr>
        <w:b/>
        <w:bCs/>
      </w:rPr>
      <w:tblPr/>
      <w:tcPr>
        <w:tcBorders>
          <w:top w:val="nil"/>
          <w:left w:val="nil"/>
          <w:bottom w:val="single" w:sz="24" w:space="0" w:color="00A9F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492" w:themeFill="accent2" w:themeFillShade="99"/>
      </w:tcPr>
    </w:tblStylePr>
    <w:tblStylePr w:type="firstCol">
      <w:rPr>
        <w:color w:val="FFFFFF" w:themeColor="background1"/>
      </w:rPr>
      <w:tblPr/>
      <w:tcPr>
        <w:tcBorders>
          <w:top w:val="nil"/>
          <w:left w:val="nil"/>
          <w:bottom w:val="nil"/>
          <w:right w:val="nil"/>
          <w:insideH w:val="single" w:sz="4" w:space="0" w:color="006492" w:themeColor="accent2" w:themeShade="99"/>
          <w:insideV w:val="nil"/>
        </w:tcBorders>
        <w:shd w:val="clear" w:color="auto" w:fill="00649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492" w:themeFill="accent2" w:themeFillShade="99"/>
      </w:tcPr>
    </w:tblStylePr>
    <w:tblStylePr w:type="band1Vert">
      <w:tblPr/>
      <w:tcPr>
        <w:shd w:val="clear" w:color="auto" w:fill="94DDFF" w:themeFill="accent2" w:themeFillTint="66"/>
      </w:tcPr>
    </w:tblStylePr>
    <w:tblStylePr w:type="band1Horz">
      <w:tblPr/>
      <w:tcPr>
        <w:shd w:val="clear" w:color="auto" w:fill="7AD5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BE28F6"/>
    <w:pPr>
      <w:spacing w:after="0" w:line="240" w:lineRule="auto"/>
    </w:pPr>
    <w:rPr>
      <w:color w:val="000000" w:themeColor="text1"/>
    </w:rPr>
    <w:tblPr>
      <w:tblStyleRowBandSize w:val="1"/>
      <w:tblStyleColBandSize w:val="1"/>
      <w:tblBorders>
        <w:top w:val="single" w:sz="24" w:space="0" w:color="AAE6F0" w:themeColor="accent4"/>
        <w:left w:val="single" w:sz="4" w:space="0" w:color="2251FF" w:themeColor="accent3"/>
        <w:bottom w:val="single" w:sz="4" w:space="0" w:color="2251FF" w:themeColor="accent3"/>
        <w:right w:val="single" w:sz="4" w:space="0" w:color="2251FF" w:themeColor="accent3"/>
        <w:insideH w:val="single" w:sz="4" w:space="0" w:color="FFFFFF" w:themeColor="background1"/>
        <w:insideV w:val="single" w:sz="4" w:space="0" w:color="FFFFFF" w:themeColor="background1"/>
      </w:tblBorders>
    </w:tblPr>
    <w:tcPr>
      <w:shd w:val="clear" w:color="auto" w:fill="E9EDFF" w:themeFill="accent3" w:themeFillTint="19"/>
    </w:tcPr>
    <w:tblStylePr w:type="firstRow">
      <w:rPr>
        <w:b/>
        <w:bCs/>
      </w:rPr>
      <w:tblPr/>
      <w:tcPr>
        <w:tcBorders>
          <w:top w:val="nil"/>
          <w:left w:val="nil"/>
          <w:bottom w:val="single" w:sz="24" w:space="0" w:color="AAE6F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4AD" w:themeFill="accent3" w:themeFillShade="99"/>
      </w:tcPr>
    </w:tblStylePr>
    <w:tblStylePr w:type="firstCol">
      <w:rPr>
        <w:color w:val="FFFFFF" w:themeColor="background1"/>
      </w:rPr>
      <w:tblPr/>
      <w:tcPr>
        <w:tcBorders>
          <w:top w:val="nil"/>
          <w:left w:val="nil"/>
          <w:bottom w:val="nil"/>
          <w:right w:val="nil"/>
          <w:insideH w:val="single" w:sz="4" w:space="0" w:color="0024AD" w:themeColor="accent3" w:themeShade="99"/>
          <w:insideV w:val="nil"/>
        </w:tcBorders>
        <w:shd w:val="clear" w:color="auto" w:fill="0024A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24AD" w:themeFill="accent3" w:themeFillShade="99"/>
      </w:tcPr>
    </w:tblStylePr>
    <w:tblStylePr w:type="band1Vert">
      <w:tblPr/>
      <w:tcPr>
        <w:shd w:val="clear" w:color="auto" w:fill="A6B9FF" w:themeFill="accent3" w:themeFillTint="66"/>
      </w:tcPr>
    </w:tblStylePr>
    <w:tblStylePr w:type="band1Horz">
      <w:tblPr/>
      <w:tcPr>
        <w:shd w:val="clear" w:color="auto" w:fill="90A8FF" w:themeFill="accent3" w:themeFillTint="7F"/>
      </w:tcPr>
    </w:tblStylePr>
  </w:style>
  <w:style w:type="table" w:styleId="ColorfulShading-Accent4">
    <w:name w:val="Colorful Shading Accent 4"/>
    <w:basedOn w:val="TableNormal"/>
    <w:uiPriority w:val="71"/>
    <w:semiHidden/>
    <w:unhideWhenUsed/>
    <w:rsid w:val="00BE28F6"/>
    <w:pPr>
      <w:spacing w:after="0" w:line="240" w:lineRule="auto"/>
    </w:pPr>
    <w:rPr>
      <w:color w:val="000000" w:themeColor="text1"/>
    </w:rPr>
    <w:tblPr>
      <w:tblStyleRowBandSize w:val="1"/>
      <w:tblStyleColBandSize w:val="1"/>
      <w:tblBorders>
        <w:top w:val="single" w:sz="24" w:space="0" w:color="2251FF" w:themeColor="accent3"/>
        <w:left w:val="single" w:sz="4" w:space="0" w:color="AAE6F0" w:themeColor="accent4"/>
        <w:bottom w:val="single" w:sz="4" w:space="0" w:color="AAE6F0" w:themeColor="accent4"/>
        <w:right w:val="single" w:sz="4" w:space="0" w:color="AAE6F0" w:themeColor="accent4"/>
        <w:insideH w:val="single" w:sz="4" w:space="0" w:color="FFFFFF" w:themeColor="background1"/>
        <w:insideV w:val="single" w:sz="4" w:space="0" w:color="FFFFFF" w:themeColor="background1"/>
      </w:tblBorders>
    </w:tblPr>
    <w:tcPr>
      <w:shd w:val="clear" w:color="auto" w:fill="F6FCFD" w:themeFill="accent4" w:themeFillTint="19"/>
    </w:tcPr>
    <w:tblStylePr w:type="firstRow">
      <w:rPr>
        <w:b/>
        <w:bCs/>
      </w:rPr>
      <w:tblPr/>
      <w:tcPr>
        <w:tcBorders>
          <w:top w:val="nil"/>
          <w:left w:val="nil"/>
          <w:bottom w:val="single" w:sz="24" w:space="0" w:color="2251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B8D1" w:themeFill="accent4" w:themeFillShade="99"/>
      </w:tcPr>
    </w:tblStylePr>
    <w:tblStylePr w:type="firstCol">
      <w:rPr>
        <w:color w:val="FFFFFF" w:themeColor="background1"/>
      </w:rPr>
      <w:tblPr/>
      <w:tcPr>
        <w:tcBorders>
          <w:top w:val="nil"/>
          <w:left w:val="nil"/>
          <w:bottom w:val="nil"/>
          <w:right w:val="nil"/>
          <w:insideH w:val="single" w:sz="4" w:space="0" w:color="25B8D1" w:themeColor="accent4" w:themeShade="99"/>
          <w:insideV w:val="nil"/>
        </w:tcBorders>
        <w:shd w:val="clear" w:color="auto" w:fill="25B8D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5B8D1" w:themeFill="accent4" w:themeFillShade="99"/>
      </w:tcPr>
    </w:tblStylePr>
    <w:tblStylePr w:type="band1Vert">
      <w:tblPr/>
      <w:tcPr>
        <w:shd w:val="clear" w:color="auto" w:fill="DDF4F9" w:themeFill="accent4" w:themeFillTint="66"/>
      </w:tcPr>
    </w:tblStylePr>
    <w:tblStylePr w:type="band1Horz">
      <w:tblPr/>
      <w:tcPr>
        <w:shd w:val="clear" w:color="auto" w:fill="D4F2F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BE28F6"/>
    <w:pPr>
      <w:spacing w:after="0" w:line="240" w:lineRule="auto"/>
    </w:pPr>
    <w:rPr>
      <w:color w:val="000000" w:themeColor="text1"/>
    </w:rPr>
    <w:tblPr>
      <w:tblStyleRowBandSize w:val="1"/>
      <w:tblStyleColBandSize w:val="1"/>
      <w:tblBorders>
        <w:top w:val="single" w:sz="24" w:space="0" w:color="AFC3FF" w:themeColor="accent6"/>
        <w:left w:val="single" w:sz="4" w:space="0" w:color="3C96B4" w:themeColor="accent5"/>
        <w:bottom w:val="single" w:sz="4" w:space="0" w:color="3C96B4" w:themeColor="accent5"/>
        <w:right w:val="single" w:sz="4" w:space="0" w:color="3C96B4" w:themeColor="accent5"/>
        <w:insideH w:val="single" w:sz="4" w:space="0" w:color="FFFFFF" w:themeColor="background1"/>
        <w:insideV w:val="single" w:sz="4" w:space="0" w:color="FFFFFF" w:themeColor="background1"/>
      </w:tblBorders>
    </w:tblPr>
    <w:tcPr>
      <w:shd w:val="clear" w:color="auto" w:fill="EBF4F8" w:themeFill="accent5" w:themeFillTint="19"/>
    </w:tcPr>
    <w:tblStylePr w:type="firstRow">
      <w:rPr>
        <w:b/>
        <w:bCs/>
      </w:rPr>
      <w:tblPr/>
      <w:tcPr>
        <w:tcBorders>
          <w:top w:val="nil"/>
          <w:left w:val="nil"/>
          <w:bottom w:val="single" w:sz="24" w:space="0" w:color="AFC3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596C" w:themeFill="accent5" w:themeFillShade="99"/>
      </w:tcPr>
    </w:tblStylePr>
    <w:tblStylePr w:type="firstCol">
      <w:rPr>
        <w:color w:val="FFFFFF" w:themeColor="background1"/>
      </w:rPr>
      <w:tblPr/>
      <w:tcPr>
        <w:tcBorders>
          <w:top w:val="nil"/>
          <w:left w:val="nil"/>
          <w:bottom w:val="nil"/>
          <w:right w:val="nil"/>
          <w:insideH w:val="single" w:sz="4" w:space="0" w:color="24596C" w:themeColor="accent5" w:themeShade="99"/>
          <w:insideV w:val="nil"/>
        </w:tcBorders>
        <w:shd w:val="clear" w:color="auto" w:fill="24596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596C" w:themeFill="accent5" w:themeFillShade="99"/>
      </w:tcPr>
    </w:tblStylePr>
    <w:tblStylePr w:type="band1Vert">
      <w:tblPr/>
      <w:tcPr>
        <w:shd w:val="clear" w:color="auto" w:fill="AED6E4" w:themeFill="accent5" w:themeFillTint="66"/>
      </w:tcPr>
    </w:tblStylePr>
    <w:tblStylePr w:type="band1Horz">
      <w:tblPr/>
      <w:tcPr>
        <w:shd w:val="clear" w:color="auto" w:fill="9ACCDD"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BE28F6"/>
    <w:pPr>
      <w:spacing w:after="0" w:line="240" w:lineRule="auto"/>
    </w:pPr>
    <w:rPr>
      <w:color w:val="000000" w:themeColor="text1"/>
    </w:rPr>
    <w:tblPr>
      <w:tblStyleRowBandSize w:val="1"/>
      <w:tblStyleColBandSize w:val="1"/>
      <w:tblBorders>
        <w:top w:val="single" w:sz="24" w:space="0" w:color="3C96B4" w:themeColor="accent5"/>
        <w:left w:val="single" w:sz="4" w:space="0" w:color="AFC3FF" w:themeColor="accent6"/>
        <w:bottom w:val="single" w:sz="4" w:space="0" w:color="AFC3FF" w:themeColor="accent6"/>
        <w:right w:val="single" w:sz="4" w:space="0" w:color="AFC3FF" w:themeColor="accent6"/>
        <w:insideH w:val="single" w:sz="4" w:space="0" w:color="FFFFFF" w:themeColor="background1"/>
        <w:insideV w:val="single" w:sz="4" w:space="0" w:color="FFFFFF" w:themeColor="background1"/>
      </w:tblBorders>
    </w:tblPr>
    <w:tcPr>
      <w:shd w:val="clear" w:color="auto" w:fill="F7F8FF" w:themeFill="accent6" w:themeFillTint="19"/>
    </w:tcPr>
    <w:tblStylePr w:type="firstRow">
      <w:rPr>
        <w:b/>
        <w:bCs/>
      </w:rPr>
      <w:tblPr/>
      <w:tcPr>
        <w:tcBorders>
          <w:top w:val="nil"/>
          <w:left w:val="nil"/>
          <w:bottom w:val="single" w:sz="24" w:space="0" w:color="3C96B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41FF" w:themeFill="accent6" w:themeFillShade="99"/>
      </w:tcPr>
    </w:tblStylePr>
    <w:tblStylePr w:type="firstCol">
      <w:rPr>
        <w:color w:val="FFFFFF" w:themeColor="background1"/>
      </w:rPr>
      <w:tblPr/>
      <w:tcPr>
        <w:tcBorders>
          <w:top w:val="nil"/>
          <w:left w:val="nil"/>
          <w:bottom w:val="nil"/>
          <w:right w:val="nil"/>
          <w:insideH w:val="single" w:sz="4" w:space="0" w:color="0341FF" w:themeColor="accent6" w:themeShade="99"/>
          <w:insideV w:val="nil"/>
        </w:tcBorders>
        <w:shd w:val="clear" w:color="auto" w:fill="0341F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341FF" w:themeFill="accent6" w:themeFillShade="99"/>
      </w:tcPr>
    </w:tblStylePr>
    <w:tblStylePr w:type="band1Vert">
      <w:tblPr/>
      <w:tcPr>
        <w:shd w:val="clear" w:color="auto" w:fill="DFE6FF" w:themeFill="accent6" w:themeFillTint="66"/>
      </w:tcPr>
    </w:tblStylePr>
    <w:tblStylePr w:type="band1Horz">
      <w:tblPr/>
      <w:tcPr>
        <w:shd w:val="clear" w:color="auto" w:fill="D7E0F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BE28F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BE28F6"/>
    <w:pPr>
      <w:spacing w:after="0" w:line="240" w:lineRule="auto"/>
    </w:pPr>
    <w:rPr>
      <w:color w:val="FFFFFF" w:themeColor="background1"/>
    </w:rPr>
    <w:tblPr>
      <w:tblStyleRowBandSize w:val="1"/>
      <w:tblStyleColBandSize w:val="1"/>
    </w:tblPr>
    <w:tcPr>
      <w:shd w:val="clear" w:color="auto" w:fill="051C2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0D1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3142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31420" w:themeFill="accent1" w:themeFillShade="BF"/>
      </w:tcPr>
    </w:tblStylePr>
    <w:tblStylePr w:type="band1Vert">
      <w:tblPr/>
      <w:tcPr>
        <w:tcBorders>
          <w:top w:val="nil"/>
          <w:left w:val="nil"/>
          <w:bottom w:val="nil"/>
          <w:right w:val="nil"/>
          <w:insideH w:val="nil"/>
          <w:insideV w:val="nil"/>
        </w:tcBorders>
        <w:shd w:val="clear" w:color="auto" w:fill="031420" w:themeFill="accent1" w:themeFillShade="BF"/>
      </w:tcPr>
    </w:tblStylePr>
    <w:tblStylePr w:type="band1Horz">
      <w:tblPr/>
      <w:tcPr>
        <w:tcBorders>
          <w:top w:val="nil"/>
          <w:left w:val="nil"/>
          <w:bottom w:val="nil"/>
          <w:right w:val="nil"/>
          <w:insideH w:val="nil"/>
          <w:insideV w:val="nil"/>
        </w:tcBorders>
        <w:shd w:val="clear" w:color="auto" w:fill="031420" w:themeFill="accent1" w:themeFillShade="BF"/>
      </w:tcPr>
    </w:tblStylePr>
  </w:style>
  <w:style w:type="table" w:styleId="DarkList-Accent2">
    <w:name w:val="Dark List Accent 2"/>
    <w:basedOn w:val="TableNormal"/>
    <w:uiPriority w:val="70"/>
    <w:semiHidden/>
    <w:unhideWhenUsed/>
    <w:rsid w:val="00BE28F6"/>
    <w:pPr>
      <w:spacing w:after="0" w:line="240" w:lineRule="auto"/>
    </w:pPr>
    <w:rPr>
      <w:color w:val="FFFFFF" w:themeColor="background1"/>
    </w:rPr>
    <w:tblPr>
      <w:tblStyleRowBandSize w:val="1"/>
      <w:tblStyleColBandSize w:val="1"/>
    </w:tblPr>
    <w:tcPr>
      <w:shd w:val="clear" w:color="auto" w:fill="00A9F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37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EB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EB6" w:themeFill="accent2" w:themeFillShade="BF"/>
      </w:tcPr>
    </w:tblStylePr>
    <w:tblStylePr w:type="band1Vert">
      <w:tblPr/>
      <w:tcPr>
        <w:tcBorders>
          <w:top w:val="nil"/>
          <w:left w:val="nil"/>
          <w:bottom w:val="nil"/>
          <w:right w:val="nil"/>
          <w:insideH w:val="nil"/>
          <w:insideV w:val="nil"/>
        </w:tcBorders>
        <w:shd w:val="clear" w:color="auto" w:fill="007EB6" w:themeFill="accent2" w:themeFillShade="BF"/>
      </w:tcPr>
    </w:tblStylePr>
    <w:tblStylePr w:type="band1Horz">
      <w:tblPr/>
      <w:tcPr>
        <w:tcBorders>
          <w:top w:val="nil"/>
          <w:left w:val="nil"/>
          <w:bottom w:val="nil"/>
          <w:right w:val="nil"/>
          <w:insideH w:val="nil"/>
          <w:insideV w:val="nil"/>
        </w:tcBorders>
        <w:shd w:val="clear" w:color="auto" w:fill="007EB6" w:themeFill="accent2" w:themeFillShade="BF"/>
      </w:tcPr>
    </w:tblStylePr>
  </w:style>
  <w:style w:type="table" w:styleId="DarkList-Accent3">
    <w:name w:val="Dark List Accent 3"/>
    <w:basedOn w:val="TableNormal"/>
    <w:uiPriority w:val="70"/>
    <w:semiHidden/>
    <w:unhideWhenUsed/>
    <w:rsid w:val="00BE28F6"/>
    <w:pPr>
      <w:spacing w:after="0" w:line="240" w:lineRule="auto"/>
    </w:pPr>
    <w:rPr>
      <w:color w:val="FFFFFF" w:themeColor="background1"/>
    </w:rPr>
    <w:tblPr>
      <w:tblStyleRowBandSize w:val="1"/>
      <w:tblStyleColBandSize w:val="1"/>
    </w:tblPr>
    <w:tcPr>
      <w:shd w:val="clear" w:color="auto" w:fill="2251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E8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2DD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2DD8" w:themeFill="accent3" w:themeFillShade="BF"/>
      </w:tcPr>
    </w:tblStylePr>
    <w:tblStylePr w:type="band1Vert">
      <w:tblPr/>
      <w:tcPr>
        <w:tcBorders>
          <w:top w:val="nil"/>
          <w:left w:val="nil"/>
          <w:bottom w:val="nil"/>
          <w:right w:val="nil"/>
          <w:insideH w:val="nil"/>
          <w:insideV w:val="nil"/>
        </w:tcBorders>
        <w:shd w:val="clear" w:color="auto" w:fill="002DD8" w:themeFill="accent3" w:themeFillShade="BF"/>
      </w:tcPr>
    </w:tblStylePr>
    <w:tblStylePr w:type="band1Horz">
      <w:tblPr/>
      <w:tcPr>
        <w:tcBorders>
          <w:top w:val="nil"/>
          <w:left w:val="nil"/>
          <w:bottom w:val="nil"/>
          <w:right w:val="nil"/>
          <w:insideH w:val="nil"/>
          <w:insideV w:val="nil"/>
        </w:tcBorders>
        <w:shd w:val="clear" w:color="auto" w:fill="002DD8" w:themeFill="accent3" w:themeFillShade="BF"/>
      </w:tcPr>
    </w:tblStylePr>
  </w:style>
  <w:style w:type="table" w:styleId="DarkList-Accent4">
    <w:name w:val="Dark List Accent 4"/>
    <w:basedOn w:val="TableNormal"/>
    <w:uiPriority w:val="70"/>
    <w:semiHidden/>
    <w:unhideWhenUsed/>
    <w:rsid w:val="00BE28F6"/>
    <w:pPr>
      <w:spacing w:after="0" w:line="240" w:lineRule="auto"/>
    </w:pPr>
    <w:rPr>
      <w:color w:val="FFFFFF" w:themeColor="background1"/>
    </w:rPr>
    <w:tblPr>
      <w:tblStyleRowBandSize w:val="1"/>
      <w:tblStyleColBandSize w:val="1"/>
    </w:tblPr>
    <w:tcPr>
      <w:shd w:val="clear" w:color="auto" w:fill="AAE6F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98A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2CCE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2CCE0" w:themeFill="accent4" w:themeFillShade="BF"/>
      </w:tcPr>
    </w:tblStylePr>
    <w:tblStylePr w:type="band1Vert">
      <w:tblPr/>
      <w:tcPr>
        <w:tcBorders>
          <w:top w:val="nil"/>
          <w:left w:val="nil"/>
          <w:bottom w:val="nil"/>
          <w:right w:val="nil"/>
          <w:insideH w:val="nil"/>
          <w:insideV w:val="nil"/>
        </w:tcBorders>
        <w:shd w:val="clear" w:color="auto" w:fill="52CCE0" w:themeFill="accent4" w:themeFillShade="BF"/>
      </w:tcPr>
    </w:tblStylePr>
    <w:tblStylePr w:type="band1Horz">
      <w:tblPr/>
      <w:tcPr>
        <w:tcBorders>
          <w:top w:val="nil"/>
          <w:left w:val="nil"/>
          <w:bottom w:val="nil"/>
          <w:right w:val="nil"/>
          <w:insideH w:val="nil"/>
          <w:insideV w:val="nil"/>
        </w:tcBorders>
        <w:shd w:val="clear" w:color="auto" w:fill="52CCE0" w:themeFill="accent4" w:themeFillShade="BF"/>
      </w:tcPr>
    </w:tblStylePr>
  </w:style>
  <w:style w:type="table" w:styleId="DarkList-Accent5">
    <w:name w:val="Dark List Accent 5"/>
    <w:basedOn w:val="TableNormal"/>
    <w:uiPriority w:val="70"/>
    <w:semiHidden/>
    <w:unhideWhenUsed/>
    <w:rsid w:val="00BE28F6"/>
    <w:pPr>
      <w:spacing w:after="0" w:line="240" w:lineRule="auto"/>
    </w:pPr>
    <w:rPr>
      <w:color w:val="FFFFFF" w:themeColor="background1"/>
    </w:rPr>
    <w:tblPr>
      <w:tblStyleRowBandSize w:val="1"/>
      <w:tblStyleColBandSize w:val="1"/>
    </w:tblPr>
    <w:tcPr>
      <w:shd w:val="clear" w:color="auto" w:fill="3C96B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D4A5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708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7086" w:themeFill="accent5" w:themeFillShade="BF"/>
      </w:tcPr>
    </w:tblStylePr>
    <w:tblStylePr w:type="band1Vert">
      <w:tblPr/>
      <w:tcPr>
        <w:tcBorders>
          <w:top w:val="nil"/>
          <w:left w:val="nil"/>
          <w:bottom w:val="nil"/>
          <w:right w:val="nil"/>
          <w:insideH w:val="nil"/>
          <w:insideV w:val="nil"/>
        </w:tcBorders>
        <w:shd w:val="clear" w:color="auto" w:fill="2D7086" w:themeFill="accent5" w:themeFillShade="BF"/>
      </w:tcPr>
    </w:tblStylePr>
    <w:tblStylePr w:type="band1Horz">
      <w:tblPr/>
      <w:tcPr>
        <w:tcBorders>
          <w:top w:val="nil"/>
          <w:left w:val="nil"/>
          <w:bottom w:val="nil"/>
          <w:right w:val="nil"/>
          <w:insideH w:val="nil"/>
          <w:insideV w:val="nil"/>
        </w:tcBorders>
        <w:shd w:val="clear" w:color="auto" w:fill="2D7086" w:themeFill="accent5" w:themeFillShade="BF"/>
      </w:tcPr>
    </w:tblStylePr>
  </w:style>
  <w:style w:type="table" w:styleId="DarkList-Accent6">
    <w:name w:val="Dark List Accent 6"/>
    <w:basedOn w:val="TableNormal"/>
    <w:uiPriority w:val="70"/>
    <w:semiHidden/>
    <w:unhideWhenUsed/>
    <w:rsid w:val="00BE28F6"/>
    <w:pPr>
      <w:spacing w:after="0" w:line="240" w:lineRule="auto"/>
    </w:pPr>
    <w:rPr>
      <w:color w:val="FFFFFF" w:themeColor="background1"/>
    </w:rPr>
    <w:tblPr>
      <w:tblStyleRowBandSize w:val="1"/>
      <w:tblStyleColBandSize w:val="1"/>
    </w:tblPr>
    <w:tcPr>
      <w:shd w:val="clear" w:color="auto" w:fill="AFC3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4D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371F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371FF" w:themeFill="accent6" w:themeFillShade="BF"/>
      </w:tcPr>
    </w:tblStylePr>
    <w:tblStylePr w:type="band1Vert">
      <w:tblPr/>
      <w:tcPr>
        <w:tcBorders>
          <w:top w:val="nil"/>
          <w:left w:val="nil"/>
          <w:bottom w:val="nil"/>
          <w:right w:val="nil"/>
          <w:insideH w:val="nil"/>
          <w:insideV w:val="nil"/>
        </w:tcBorders>
        <w:shd w:val="clear" w:color="auto" w:fill="4371FF" w:themeFill="accent6" w:themeFillShade="BF"/>
      </w:tcPr>
    </w:tblStylePr>
    <w:tblStylePr w:type="band1Horz">
      <w:tblPr/>
      <w:tcPr>
        <w:tcBorders>
          <w:top w:val="nil"/>
          <w:left w:val="nil"/>
          <w:bottom w:val="nil"/>
          <w:right w:val="nil"/>
          <w:insideH w:val="nil"/>
          <w:insideV w:val="nil"/>
        </w:tcBorders>
        <w:shd w:val="clear" w:color="auto" w:fill="4371FF" w:themeFill="accent6" w:themeFillShade="BF"/>
      </w:tcPr>
    </w:tblStylePr>
  </w:style>
  <w:style w:type="paragraph" w:styleId="Date">
    <w:name w:val="Date"/>
    <w:basedOn w:val="Normal"/>
    <w:next w:val="Normal"/>
    <w:link w:val="DateChar"/>
    <w:uiPriority w:val="99"/>
    <w:semiHidden/>
    <w:unhideWhenUsed/>
    <w:rsid w:val="00BE28F6"/>
  </w:style>
  <w:style w:type="character" w:customStyle="1" w:styleId="DateChar">
    <w:name w:val="Date Char"/>
    <w:basedOn w:val="DefaultParagraphFont"/>
    <w:link w:val="Date"/>
    <w:uiPriority w:val="99"/>
    <w:semiHidden/>
    <w:rsid w:val="00BE28F6"/>
    <w:rPr>
      <w:rFonts w:eastAsia="Times New Roman" w:cs="Times New Roman"/>
      <w:szCs w:val="20"/>
      <w:lang w:val="en-US"/>
    </w:rPr>
  </w:style>
  <w:style w:type="paragraph" w:styleId="DocumentMap">
    <w:name w:val="Document Map"/>
    <w:basedOn w:val="Normal"/>
    <w:link w:val="DocumentMapChar"/>
    <w:uiPriority w:val="99"/>
    <w:semiHidden/>
    <w:unhideWhenUsed/>
    <w:rsid w:val="00BE28F6"/>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E28F6"/>
    <w:rPr>
      <w:rFonts w:ascii="Segoe UI" w:eastAsia="Times New Roman" w:hAnsi="Segoe UI" w:cs="Segoe UI"/>
      <w:sz w:val="16"/>
      <w:szCs w:val="16"/>
      <w:lang w:val="en-US"/>
    </w:rPr>
  </w:style>
  <w:style w:type="character" w:styleId="Emphasis">
    <w:name w:val="Emphasis"/>
    <w:basedOn w:val="DefaultParagraphFont"/>
    <w:uiPriority w:val="20"/>
    <w:rsid w:val="00BE28F6"/>
    <w:rPr>
      <w:i/>
      <w:iCs/>
    </w:rPr>
  </w:style>
  <w:style w:type="table" w:styleId="GridTable1Light">
    <w:name w:val="Grid Table 1 Light"/>
    <w:basedOn w:val="TableNormal"/>
    <w:uiPriority w:val="46"/>
    <w:rsid w:val="00BE28F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E28F6"/>
    <w:pPr>
      <w:spacing w:after="0" w:line="240" w:lineRule="auto"/>
    </w:pPr>
    <w:tblPr>
      <w:tblStyleRowBandSize w:val="1"/>
      <w:tblStyleColBandSize w:val="1"/>
      <w:tblBorders>
        <w:top w:val="single" w:sz="4" w:space="0" w:color="59AFEC" w:themeColor="accent1" w:themeTint="66"/>
        <w:left w:val="single" w:sz="4" w:space="0" w:color="59AFEC" w:themeColor="accent1" w:themeTint="66"/>
        <w:bottom w:val="single" w:sz="4" w:space="0" w:color="59AFEC" w:themeColor="accent1" w:themeTint="66"/>
        <w:right w:val="single" w:sz="4" w:space="0" w:color="59AFEC" w:themeColor="accent1" w:themeTint="66"/>
        <w:insideH w:val="single" w:sz="4" w:space="0" w:color="59AFEC" w:themeColor="accent1" w:themeTint="66"/>
        <w:insideV w:val="single" w:sz="4" w:space="0" w:color="59AFEC" w:themeColor="accent1" w:themeTint="66"/>
      </w:tblBorders>
    </w:tblPr>
    <w:tblStylePr w:type="firstRow">
      <w:rPr>
        <w:b/>
        <w:bCs/>
      </w:rPr>
      <w:tblPr/>
      <w:tcPr>
        <w:tcBorders>
          <w:bottom w:val="single" w:sz="12" w:space="0" w:color="1885D1" w:themeColor="accent1" w:themeTint="99"/>
        </w:tcBorders>
      </w:tcPr>
    </w:tblStylePr>
    <w:tblStylePr w:type="lastRow">
      <w:rPr>
        <w:b/>
        <w:bCs/>
      </w:rPr>
      <w:tblPr/>
      <w:tcPr>
        <w:tcBorders>
          <w:top w:val="double" w:sz="2" w:space="0" w:color="1885D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E28F6"/>
    <w:pPr>
      <w:spacing w:after="0" w:line="240" w:lineRule="auto"/>
    </w:pPr>
    <w:tblPr>
      <w:tblStyleRowBandSize w:val="1"/>
      <w:tblStyleColBandSize w:val="1"/>
      <w:tblBorders>
        <w:top w:val="single" w:sz="4" w:space="0" w:color="94DDFF" w:themeColor="accent2" w:themeTint="66"/>
        <w:left w:val="single" w:sz="4" w:space="0" w:color="94DDFF" w:themeColor="accent2" w:themeTint="66"/>
        <w:bottom w:val="single" w:sz="4" w:space="0" w:color="94DDFF" w:themeColor="accent2" w:themeTint="66"/>
        <w:right w:val="single" w:sz="4" w:space="0" w:color="94DDFF" w:themeColor="accent2" w:themeTint="66"/>
        <w:insideH w:val="single" w:sz="4" w:space="0" w:color="94DDFF" w:themeColor="accent2" w:themeTint="66"/>
        <w:insideV w:val="single" w:sz="4" w:space="0" w:color="94DDFF" w:themeColor="accent2" w:themeTint="66"/>
      </w:tblBorders>
    </w:tblPr>
    <w:tblStylePr w:type="firstRow">
      <w:rPr>
        <w:b/>
        <w:bCs/>
      </w:rPr>
      <w:tblPr/>
      <w:tcPr>
        <w:tcBorders>
          <w:bottom w:val="single" w:sz="12" w:space="0" w:color="5FCDFF" w:themeColor="accent2" w:themeTint="99"/>
        </w:tcBorders>
      </w:tcPr>
    </w:tblStylePr>
    <w:tblStylePr w:type="lastRow">
      <w:rPr>
        <w:b/>
        <w:bCs/>
      </w:rPr>
      <w:tblPr/>
      <w:tcPr>
        <w:tcBorders>
          <w:top w:val="double" w:sz="2" w:space="0" w:color="5FCD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E28F6"/>
    <w:pPr>
      <w:spacing w:after="0" w:line="240" w:lineRule="auto"/>
    </w:pPr>
    <w:tblPr>
      <w:tblStyleRowBandSize w:val="1"/>
      <w:tblStyleColBandSize w:val="1"/>
      <w:tblBorders>
        <w:top w:val="single" w:sz="4" w:space="0" w:color="A6B9FF" w:themeColor="accent3" w:themeTint="66"/>
        <w:left w:val="single" w:sz="4" w:space="0" w:color="A6B9FF" w:themeColor="accent3" w:themeTint="66"/>
        <w:bottom w:val="single" w:sz="4" w:space="0" w:color="A6B9FF" w:themeColor="accent3" w:themeTint="66"/>
        <w:right w:val="single" w:sz="4" w:space="0" w:color="A6B9FF" w:themeColor="accent3" w:themeTint="66"/>
        <w:insideH w:val="single" w:sz="4" w:space="0" w:color="A6B9FF" w:themeColor="accent3" w:themeTint="66"/>
        <w:insideV w:val="single" w:sz="4" w:space="0" w:color="A6B9FF" w:themeColor="accent3" w:themeTint="66"/>
      </w:tblBorders>
    </w:tblPr>
    <w:tblStylePr w:type="firstRow">
      <w:rPr>
        <w:b/>
        <w:bCs/>
      </w:rPr>
      <w:tblPr/>
      <w:tcPr>
        <w:tcBorders>
          <w:bottom w:val="single" w:sz="12" w:space="0" w:color="7A96FF" w:themeColor="accent3" w:themeTint="99"/>
        </w:tcBorders>
      </w:tcPr>
    </w:tblStylePr>
    <w:tblStylePr w:type="lastRow">
      <w:rPr>
        <w:b/>
        <w:bCs/>
      </w:rPr>
      <w:tblPr/>
      <w:tcPr>
        <w:tcBorders>
          <w:top w:val="double" w:sz="2" w:space="0" w:color="7A96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E28F6"/>
    <w:pPr>
      <w:spacing w:after="0" w:line="240" w:lineRule="auto"/>
    </w:pPr>
    <w:tblPr>
      <w:tblStyleRowBandSize w:val="1"/>
      <w:tblStyleColBandSize w:val="1"/>
      <w:tblBorders>
        <w:top w:val="single" w:sz="4" w:space="0" w:color="DDF4F9" w:themeColor="accent4" w:themeTint="66"/>
        <w:left w:val="single" w:sz="4" w:space="0" w:color="DDF4F9" w:themeColor="accent4" w:themeTint="66"/>
        <w:bottom w:val="single" w:sz="4" w:space="0" w:color="DDF4F9" w:themeColor="accent4" w:themeTint="66"/>
        <w:right w:val="single" w:sz="4" w:space="0" w:color="DDF4F9" w:themeColor="accent4" w:themeTint="66"/>
        <w:insideH w:val="single" w:sz="4" w:space="0" w:color="DDF4F9" w:themeColor="accent4" w:themeTint="66"/>
        <w:insideV w:val="single" w:sz="4" w:space="0" w:color="DDF4F9" w:themeColor="accent4" w:themeTint="66"/>
      </w:tblBorders>
    </w:tblPr>
    <w:tblStylePr w:type="firstRow">
      <w:rPr>
        <w:b/>
        <w:bCs/>
      </w:rPr>
      <w:tblPr/>
      <w:tcPr>
        <w:tcBorders>
          <w:bottom w:val="single" w:sz="12" w:space="0" w:color="CCEFF6" w:themeColor="accent4" w:themeTint="99"/>
        </w:tcBorders>
      </w:tcPr>
    </w:tblStylePr>
    <w:tblStylePr w:type="lastRow">
      <w:rPr>
        <w:b/>
        <w:bCs/>
      </w:rPr>
      <w:tblPr/>
      <w:tcPr>
        <w:tcBorders>
          <w:top w:val="double" w:sz="2" w:space="0" w:color="CCEFF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E28F6"/>
    <w:pPr>
      <w:spacing w:after="0" w:line="240" w:lineRule="auto"/>
    </w:pPr>
    <w:tblPr>
      <w:tblStyleRowBandSize w:val="1"/>
      <w:tblStyleColBandSize w:val="1"/>
      <w:tblBorders>
        <w:top w:val="single" w:sz="4" w:space="0" w:color="AED6E4" w:themeColor="accent5" w:themeTint="66"/>
        <w:left w:val="single" w:sz="4" w:space="0" w:color="AED6E4" w:themeColor="accent5" w:themeTint="66"/>
        <w:bottom w:val="single" w:sz="4" w:space="0" w:color="AED6E4" w:themeColor="accent5" w:themeTint="66"/>
        <w:right w:val="single" w:sz="4" w:space="0" w:color="AED6E4" w:themeColor="accent5" w:themeTint="66"/>
        <w:insideH w:val="single" w:sz="4" w:space="0" w:color="AED6E4" w:themeColor="accent5" w:themeTint="66"/>
        <w:insideV w:val="single" w:sz="4" w:space="0" w:color="AED6E4" w:themeColor="accent5" w:themeTint="66"/>
      </w:tblBorders>
    </w:tblPr>
    <w:tblStylePr w:type="firstRow">
      <w:rPr>
        <w:b/>
        <w:bCs/>
      </w:rPr>
      <w:tblPr/>
      <w:tcPr>
        <w:tcBorders>
          <w:bottom w:val="single" w:sz="12" w:space="0" w:color="85C2D6" w:themeColor="accent5" w:themeTint="99"/>
        </w:tcBorders>
      </w:tcPr>
    </w:tblStylePr>
    <w:tblStylePr w:type="lastRow">
      <w:rPr>
        <w:b/>
        <w:bCs/>
      </w:rPr>
      <w:tblPr/>
      <w:tcPr>
        <w:tcBorders>
          <w:top w:val="double" w:sz="2" w:space="0" w:color="85C2D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E28F6"/>
    <w:pPr>
      <w:spacing w:after="0" w:line="240" w:lineRule="auto"/>
    </w:pPr>
    <w:tblPr>
      <w:tblStyleRowBandSize w:val="1"/>
      <w:tblStyleColBandSize w:val="1"/>
      <w:tblBorders>
        <w:top w:val="single" w:sz="4" w:space="0" w:color="DFE6FF" w:themeColor="accent6" w:themeTint="66"/>
        <w:left w:val="single" w:sz="4" w:space="0" w:color="DFE6FF" w:themeColor="accent6" w:themeTint="66"/>
        <w:bottom w:val="single" w:sz="4" w:space="0" w:color="DFE6FF" w:themeColor="accent6" w:themeTint="66"/>
        <w:right w:val="single" w:sz="4" w:space="0" w:color="DFE6FF" w:themeColor="accent6" w:themeTint="66"/>
        <w:insideH w:val="single" w:sz="4" w:space="0" w:color="DFE6FF" w:themeColor="accent6" w:themeTint="66"/>
        <w:insideV w:val="single" w:sz="4" w:space="0" w:color="DFE6FF" w:themeColor="accent6" w:themeTint="66"/>
      </w:tblBorders>
    </w:tblPr>
    <w:tblStylePr w:type="firstRow">
      <w:rPr>
        <w:b/>
        <w:bCs/>
      </w:rPr>
      <w:tblPr/>
      <w:tcPr>
        <w:tcBorders>
          <w:bottom w:val="single" w:sz="12" w:space="0" w:color="CFDAFF" w:themeColor="accent6" w:themeTint="99"/>
        </w:tcBorders>
      </w:tcPr>
    </w:tblStylePr>
    <w:tblStylePr w:type="lastRow">
      <w:rPr>
        <w:b/>
        <w:bCs/>
      </w:rPr>
      <w:tblPr/>
      <w:tcPr>
        <w:tcBorders>
          <w:top w:val="double" w:sz="2" w:space="0" w:color="CFDA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BE28F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BE28F6"/>
    <w:pPr>
      <w:spacing w:after="0" w:line="240" w:lineRule="auto"/>
    </w:pPr>
    <w:tblPr>
      <w:tblStyleRowBandSize w:val="1"/>
      <w:tblStyleColBandSize w:val="1"/>
      <w:tblBorders>
        <w:top w:val="single" w:sz="2" w:space="0" w:color="1885D1" w:themeColor="accent1" w:themeTint="99"/>
        <w:bottom w:val="single" w:sz="2" w:space="0" w:color="1885D1" w:themeColor="accent1" w:themeTint="99"/>
        <w:insideH w:val="single" w:sz="2" w:space="0" w:color="1885D1" w:themeColor="accent1" w:themeTint="99"/>
        <w:insideV w:val="single" w:sz="2" w:space="0" w:color="1885D1" w:themeColor="accent1" w:themeTint="99"/>
      </w:tblBorders>
    </w:tblPr>
    <w:tblStylePr w:type="firstRow">
      <w:rPr>
        <w:b/>
        <w:bCs/>
      </w:rPr>
      <w:tblPr/>
      <w:tcPr>
        <w:tcBorders>
          <w:top w:val="nil"/>
          <w:bottom w:val="single" w:sz="12" w:space="0" w:color="1885D1" w:themeColor="accent1" w:themeTint="99"/>
          <w:insideH w:val="nil"/>
          <w:insideV w:val="nil"/>
        </w:tcBorders>
        <w:shd w:val="clear" w:color="auto" w:fill="FFFFFF" w:themeFill="background1"/>
      </w:tcPr>
    </w:tblStylePr>
    <w:tblStylePr w:type="lastRow">
      <w:rPr>
        <w:b/>
        <w:bCs/>
      </w:rPr>
      <w:tblPr/>
      <w:tcPr>
        <w:tcBorders>
          <w:top w:val="double" w:sz="2" w:space="0" w:color="1885D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D7F5" w:themeFill="accent1" w:themeFillTint="33"/>
      </w:tcPr>
    </w:tblStylePr>
    <w:tblStylePr w:type="band1Horz">
      <w:tblPr/>
      <w:tcPr>
        <w:shd w:val="clear" w:color="auto" w:fill="ACD7F5" w:themeFill="accent1" w:themeFillTint="33"/>
      </w:tcPr>
    </w:tblStylePr>
  </w:style>
  <w:style w:type="table" w:styleId="GridTable2-Accent2">
    <w:name w:val="Grid Table 2 Accent 2"/>
    <w:basedOn w:val="TableNormal"/>
    <w:uiPriority w:val="47"/>
    <w:rsid w:val="00BE28F6"/>
    <w:pPr>
      <w:spacing w:after="0" w:line="240" w:lineRule="auto"/>
    </w:pPr>
    <w:tblPr>
      <w:tblStyleRowBandSize w:val="1"/>
      <w:tblStyleColBandSize w:val="1"/>
      <w:tblBorders>
        <w:top w:val="single" w:sz="2" w:space="0" w:color="5FCDFF" w:themeColor="accent2" w:themeTint="99"/>
        <w:bottom w:val="single" w:sz="2" w:space="0" w:color="5FCDFF" w:themeColor="accent2" w:themeTint="99"/>
        <w:insideH w:val="single" w:sz="2" w:space="0" w:color="5FCDFF" w:themeColor="accent2" w:themeTint="99"/>
        <w:insideV w:val="single" w:sz="2" w:space="0" w:color="5FCDFF" w:themeColor="accent2" w:themeTint="99"/>
      </w:tblBorders>
    </w:tblPr>
    <w:tblStylePr w:type="firstRow">
      <w:rPr>
        <w:b/>
        <w:bCs/>
      </w:rPr>
      <w:tblPr/>
      <w:tcPr>
        <w:tcBorders>
          <w:top w:val="nil"/>
          <w:bottom w:val="single" w:sz="12" w:space="0" w:color="5FCDFF" w:themeColor="accent2" w:themeTint="99"/>
          <w:insideH w:val="nil"/>
          <w:insideV w:val="nil"/>
        </w:tcBorders>
        <w:shd w:val="clear" w:color="auto" w:fill="FFFFFF" w:themeFill="background1"/>
      </w:tcPr>
    </w:tblStylePr>
    <w:tblStylePr w:type="lastRow">
      <w:rPr>
        <w:b/>
        <w:bCs/>
      </w:rPr>
      <w:tblPr/>
      <w:tcPr>
        <w:tcBorders>
          <w:top w:val="double" w:sz="2" w:space="0" w:color="5FC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EEFF" w:themeFill="accent2" w:themeFillTint="33"/>
      </w:tcPr>
    </w:tblStylePr>
    <w:tblStylePr w:type="band1Horz">
      <w:tblPr/>
      <w:tcPr>
        <w:shd w:val="clear" w:color="auto" w:fill="C9EEFF" w:themeFill="accent2" w:themeFillTint="33"/>
      </w:tcPr>
    </w:tblStylePr>
  </w:style>
  <w:style w:type="table" w:styleId="GridTable2-Accent3">
    <w:name w:val="Grid Table 2 Accent 3"/>
    <w:basedOn w:val="TableNormal"/>
    <w:uiPriority w:val="47"/>
    <w:rsid w:val="00BE28F6"/>
    <w:pPr>
      <w:spacing w:after="0" w:line="240" w:lineRule="auto"/>
    </w:pPr>
    <w:tblPr>
      <w:tblStyleRowBandSize w:val="1"/>
      <w:tblStyleColBandSize w:val="1"/>
      <w:tblBorders>
        <w:top w:val="single" w:sz="2" w:space="0" w:color="7A96FF" w:themeColor="accent3" w:themeTint="99"/>
        <w:bottom w:val="single" w:sz="2" w:space="0" w:color="7A96FF" w:themeColor="accent3" w:themeTint="99"/>
        <w:insideH w:val="single" w:sz="2" w:space="0" w:color="7A96FF" w:themeColor="accent3" w:themeTint="99"/>
        <w:insideV w:val="single" w:sz="2" w:space="0" w:color="7A96FF" w:themeColor="accent3" w:themeTint="99"/>
      </w:tblBorders>
    </w:tblPr>
    <w:tblStylePr w:type="firstRow">
      <w:rPr>
        <w:b/>
        <w:bCs/>
      </w:rPr>
      <w:tblPr/>
      <w:tcPr>
        <w:tcBorders>
          <w:top w:val="nil"/>
          <w:bottom w:val="single" w:sz="12" w:space="0" w:color="7A96FF" w:themeColor="accent3" w:themeTint="99"/>
          <w:insideH w:val="nil"/>
          <w:insideV w:val="nil"/>
        </w:tcBorders>
        <w:shd w:val="clear" w:color="auto" w:fill="FFFFFF" w:themeFill="background1"/>
      </w:tcPr>
    </w:tblStylePr>
    <w:tblStylePr w:type="lastRow">
      <w:rPr>
        <w:b/>
        <w:bCs/>
      </w:rPr>
      <w:tblPr/>
      <w:tcPr>
        <w:tcBorders>
          <w:top w:val="double" w:sz="2" w:space="0" w:color="7A96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CFF" w:themeFill="accent3" w:themeFillTint="33"/>
      </w:tcPr>
    </w:tblStylePr>
    <w:tblStylePr w:type="band1Horz">
      <w:tblPr/>
      <w:tcPr>
        <w:shd w:val="clear" w:color="auto" w:fill="D2DCFF" w:themeFill="accent3" w:themeFillTint="33"/>
      </w:tcPr>
    </w:tblStylePr>
  </w:style>
  <w:style w:type="table" w:styleId="GridTable2-Accent4">
    <w:name w:val="Grid Table 2 Accent 4"/>
    <w:basedOn w:val="TableNormal"/>
    <w:uiPriority w:val="47"/>
    <w:rsid w:val="00BE28F6"/>
    <w:pPr>
      <w:spacing w:after="0" w:line="240" w:lineRule="auto"/>
    </w:pPr>
    <w:tblPr>
      <w:tblStyleRowBandSize w:val="1"/>
      <w:tblStyleColBandSize w:val="1"/>
      <w:tblBorders>
        <w:top w:val="single" w:sz="2" w:space="0" w:color="CCEFF6" w:themeColor="accent4" w:themeTint="99"/>
        <w:bottom w:val="single" w:sz="2" w:space="0" w:color="CCEFF6" w:themeColor="accent4" w:themeTint="99"/>
        <w:insideH w:val="single" w:sz="2" w:space="0" w:color="CCEFF6" w:themeColor="accent4" w:themeTint="99"/>
        <w:insideV w:val="single" w:sz="2" w:space="0" w:color="CCEFF6" w:themeColor="accent4" w:themeTint="99"/>
      </w:tblBorders>
    </w:tblPr>
    <w:tblStylePr w:type="firstRow">
      <w:rPr>
        <w:b/>
        <w:bCs/>
      </w:rPr>
      <w:tblPr/>
      <w:tcPr>
        <w:tcBorders>
          <w:top w:val="nil"/>
          <w:bottom w:val="single" w:sz="12" w:space="0" w:color="CCEFF6" w:themeColor="accent4" w:themeTint="99"/>
          <w:insideH w:val="nil"/>
          <w:insideV w:val="nil"/>
        </w:tcBorders>
        <w:shd w:val="clear" w:color="auto" w:fill="FFFFFF" w:themeFill="background1"/>
      </w:tcPr>
    </w:tblStylePr>
    <w:tblStylePr w:type="lastRow">
      <w:rPr>
        <w:b/>
        <w:bCs/>
      </w:rPr>
      <w:tblPr/>
      <w:tcPr>
        <w:tcBorders>
          <w:top w:val="double" w:sz="2" w:space="0" w:color="CCEFF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9FC" w:themeFill="accent4" w:themeFillTint="33"/>
      </w:tcPr>
    </w:tblStylePr>
    <w:tblStylePr w:type="band1Horz">
      <w:tblPr/>
      <w:tcPr>
        <w:shd w:val="clear" w:color="auto" w:fill="EEF9FC" w:themeFill="accent4" w:themeFillTint="33"/>
      </w:tcPr>
    </w:tblStylePr>
  </w:style>
  <w:style w:type="table" w:styleId="GridTable2-Accent5">
    <w:name w:val="Grid Table 2 Accent 5"/>
    <w:basedOn w:val="TableNormal"/>
    <w:uiPriority w:val="47"/>
    <w:rsid w:val="00BE28F6"/>
    <w:pPr>
      <w:spacing w:after="0" w:line="240" w:lineRule="auto"/>
    </w:pPr>
    <w:tblPr>
      <w:tblStyleRowBandSize w:val="1"/>
      <w:tblStyleColBandSize w:val="1"/>
      <w:tblBorders>
        <w:top w:val="single" w:sz="2" w:space="0" w:color="85C2D6" w:themeColor="accent5" w:themeTint="99"/>
        <w:bottom w:val="single" w:sz="2" w:space="0" w:color="85C2D6" w:themeColor="accent5" w:themeTint="99"/>
        <w:insideH w:val="single" w:sz="2" w:space="0" w:color="85C2D6" w:themeColor="accent5" w:themeTint="99"/>
        <w:insideV w:val="single" w:sz="2" w:space="0" w:color="85C2D6" w:themeColor="accent5" w:themeTint="99"/>
      </w:tblBorders>
    </w:tblPr>
    <w:tblStylePr w:type="firstRow">
      <w:rPr>
        <w:b/>
        <w:bCs/>
      </w:rPr>
      <w:tblPr/>
      <w:tcPr>
        <w:tcBorders>
          <w:top w:val="nil"/>
          <w:bottom w:val="single" w:sz="12" w:space="0" w:color="85C2D6" w:themeColor="accent5" w:themeTint="99"/>
          <w:insideH w:val="nil"/>
          <w:insideV w:val="nil"/>
        </w:tcBorders>
        <w:shd w:val="clear" w:color="auto" w:fill="FFFFFF" w:themeFill="background1"/>
      </w:tcPr>
    </w:tblStylePr>
    <w:tblStylePr w:type="lastRow">
      <w:rPr>
        <w:b/>
        <w:bCs/>
      </w:rPr>
      <w:tblPr/>
      <w:tcPr>
        <w:tcBorders>
          <w:top w:val="double" w:sz="2" w:space="0" w:color="85C2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AF1" w:themeFill="accent5" w:themeFillTint="33"/>
      </w:tcPr>
    </w:tblStylePr>
    <w:tblStylePr w:type="band1Horz">
      <w:tblPr/>
      <w:tcPr>
        <w:shd w:val="clear" w:color="auto" w:fill="D6EAF1" w:themeFill="accent5" w:themeFillTint="33"/>
      </w:tcPr>
    </w:tblStylePr>
  </w:style>
  <w:style w:type="table" w:styleId="GridTable2-Accent6">
    <w:name w:val="Grid Table 2 Accent 6"/>
    <w:basedOn w:val="TableNormal"/>
    <w:uiPriority w:val="47"/>
    <w:rsid w:val="00BE28F6"/>
    <w:pPr>
      <w:spacing w:after="0" w:line="240" w:lineRule="auto"/>
    </w:pPr>
    <w:tblPr>
      <w:tblStyleRowBandSize w:val="1"/>
      <w:tblStyleColBandSize w:val="1"/>
      <w:tblBorders>
        <w:top w:val="single" w:sz="2" w:space="0" w:color="CFDAFF" w:themeColor="accent6" w:themeTint="99"/>
        <w:bottom w:val="single" w:sz="2" w:space="0" w:color="CFDAFF" w:themeColor="accent6" w:themeTint="99"/>
        <w:insideH w:val="single" w:sz="2" w:space="0" w:color="CFDAFF" w:themeColor="accent6" w:themeTint="99"/>
        <w:insideV w:val="single" w:sz="2" w:space="0" w:color="CFDAFF" w:themeColor="accent6" w:themeTint="99"/>
      </w:tblBorders>
    </w:tblPr>
    <w:tblStylePr w:type="firstRow">
      <w:rPr>
        <w:b/>
        <w:bCs/>
      </w:rPr>
      <w:tblPr/>
      <w:tcPr>
        <w:tcBorders>
          <w:top w:val="nil"/>
          <w:bottom w:val="single" w:sz="12" w:space="0" w:color="CFDAFF" w:themeColor="accent6" w:themeTint="99"/>
          <w:insideH w:val="nil"/>
          <w:insideV w:val="nil"/>
        </w:tcBorders>
        <w:shd w:val="clear" w:color="auto" w:fill="FFFFFF" w:themeFill="background1"/>
      </w:tcPr>
    </w:tblStylePr>
    <w:tblStylePr w:type="lastRow">
      <w:rPr>
        <w:b/>
        <w:bCs/>
      </w:rPr>
      <w:tblPr/>
      <w:tcPr>
        <w:tcBorders>
          <w:top w:val="double" w:sz="2" w:space="0" w:color="CFDA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2FF" w:themeFill="accent6" w:themeFillTint="33"/>
      </w:tcPr>
    </w:tblStylePr>
    <w:tblStylePr w:type="band1Horz">
      <w:tblPr/>
      <w:tcPr>
        <w:shd w:val="clear" w:color="auto" w:fill="EFF2FF" w:themeFill="accent6" w:themeFillTint="33"/>
      </w:tcPr>
    </w:tblStylePr>
  </w:style>
  <w:style w:type="table" w:styleId="GridTable3">
    <w:name w:val="Grid Table 3"/>
    <w:basedOn w:val="TableNormal"/>
    <w:uiPriority w:val="48"/>
    <w:rsid w:val="00BE28F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BE28F6"/>
    <w:pPr>
      <w:spacing w:after="0" w:line="240" w:lineRule="auto"/>
    </w:pPr>
    <w:tblPr>
      <w:tblStyleRowBandSize w:val="1"/>
      <w:tblStyleColBandSize w:val="1"/>
      <w:tblBorders>
        <w:top w:val="single" w:sz="4" w:space="0" w:color="1885D1" w:themeColor="accent1" w:themeTint="99"/>
        <w:left w:val="single" w:sz="4" w:space="0" w:color="1885D1" w:themeColor="accent1" w:themeTint="99"/>
        <w:bottom w:val="single" w:sz="4" w:space="0" w:color="1885D1" w:themeColor="accent1" w:themeTint="99"/>
        <w:right w:val="single" w:sz="4" w:space="0" w:color="1885D1" w:themeColor="accent1" w:themeTint="99"/>
        <w:insideH w:val="single" w:sz="4" w:space="0" w:color="1885D1" w:themeColor="accent1" w:themeTint="99"/>
        <w:insideV w:val="single" w:sz="4" w:space="0" w:color="1885D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7F5" w:themeFill="accent1" w:themeFillTint="33"/>
      </w:tcPr>
    </w:tblStylePr>
    <w:tblStylePr w:type="band1Horz">
      <w:tblPr/>
      <w:tcPr>
        <w:shd w:val="clear" w:color="auto" w:fill="ACD7F5" w:themeFill="accent1" w:themeFillTint="33"/>
      </w:tcPr>
    </w:tblStylePr>
    <w:tblStylePr w:type="neCell">
      <w:tblPr/>
      <w:tcPr>
        <w:tcBorders>
          <w:bottom w:val="single" w:sz="4" w:space="0" w:color="1885D1" w:themeColor="accent1" w:themeTint="99"/>
        </w:tcBorders>
      </w:tcPr>
    </w:tblStylePr>
    <w:tblStylePr w:type="nwCell">
      <w:tblPr/>
      <w:tcPr>
        <w:tcBorders>
          <w:bottom w:val="single" w:sz="4" w:space="0" w:color="1885D1" w:themeColor="accent1" w:themeTint="99"/>
        </w:tcBorders>
      </w:tcPr>
    </w:tblStylePr>
    <w:tblStylePr w:type="seCell">
      <w:tblPr/>
      <w:tcPr>
        <w:tcBorders>
          <w:top w:val="single" w:sz="4" w:space="0" w:color="1885D1" w:themeColor="accent1" w:themeTint="99"/>
        </w:tcBorders>
      </w:tcPr>
    </w:tblStylePr>
    <w:tblStylePr w:type="swCell">
      <w:tblPr/>
      <w:tcPr>
        <w:tcBorders>
          <w:top w:val="single" w:sz="4" w:space="0" w:color="1885D1" w:themeColor="accent1" w:themeTint="99"/>
        </w:tcBorders>
      </w:tcPr>
    </w:tblStylePr>
  </w:style>
  <w:style w:type="table" w:styleId="GridTable3-Accent2">
    <w:name w:val="Grid Table 3 Accent 2"/>
    <w:basedOn w:val="TableNormal"/>
    <w:uiPriority w:val="48"/>
    <w:rsid w:val="00BE28F6"/>
    <w:pPr>
      <w:spacing w:after="0" w:line="240" w:lineRule="auto"/>
    </w:pPr>
    <w:tblPr>
      <w:tblStyleRowBandSize w:val="1"/>
      <w:tblStyleColBandSize w:val="1"/>
      <w:tblBorders>
        <w:top w:val="single" w:sz="4" w:space="0" w:color="5FCDFF" w:themeColor="accent2" w:themeTint="99"/>
        <w:left w:val="single" w:sz="4" w:space="0" w:color="5FCDFF" w:themeColor="accent2" w:themeTint="99"/>
        <w:bottom w:val="single" w:sz="4" w:space="0" w:color="5FCDFF" w:themeColor="accent2" w:themeTint="99"/>
        <w:right w:val="single" w:sz="4" w:space="0" w:color="5FCDFF" w:themeColor="accent2" w:themeTint="99"/>
        <w:insideH w:val="single" w:sz="4" w:space="0" w:color="5FCDFF" w:themeColor="accent2" w:themeTint="99"/>
        <w:insideV w:val="single" w:sz="4" w:space="0" w:color="5FC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EFF" w:themeFill="accent2" w:themeFillTint="33"/>
      </w:tcPr>
    </w:tblStylePr>
    <w:tblStylePr w:type="band1Horz">
      <w:tblPr/>
      <w:tcPr>
        <w:shd w:val="clear" w:color="auto" w:fill="C9EEFF" w:themeFill="accent2" w:themeFillTint="33"/>
      </w:tcPr>
    </w:tblStylePr>
    <w:tblStylePr w:type="neCell">
      <w:tblPr/>
      <w:tcPr>
        <w:tcBorders>
          <w:bottom w:val="single" w:sz="4" w:space="0" w:color="5FCDFF" w:themeColor="accent2" w:themeTint="99"/>
        </w:tcBorders>
      </w:tcPr>
    </w:tblStylePr>
    <w:tblStylePr w:type="nwCell">
      <w:tblPr/>
      <w:tcPr>
        <w:tcBorders>
          <w:bottom w:val="single" w:sz="4" w:space="0" w:color="5FCDFF" w:themeColor="accent2" w:themeTint="99"/>
        </w:tcBorders>
      </w:tcPr>
    </w:tblStylePr>
    <w:tblStylePr w:type="seCell">
      <w:tblPr/>
      <w:tcPr>
        <w:tcBorders>
          <w:top w:val="single" w:sz="4" w:space="0" w:color="5FCDFF" w:themeColor="accent2" w:themeTint="99"/>
        </w:tcBorders>
      </w:tcPr>
    </w:tblStylePr>
    <w:tblStylePr w:type="swCell">
      <w:tblPr/>
      <w:tcPr>
        <w:tcBorders>
          <w:top w:val="single" w:sz="4" w:space="0" w:color="5FCDFF" w:themeColor="accent2" w:themeTint="99"/>
        </w:tcBorders>
      </w:tcPr>
    </w:tblStylePr>
  </w:style>
  <w:style w:type="table" w:styleId="GridTable3-Accent3">
    <w:name w:val="Grid Table 3 Accent 3"/>
    <w:basedOn w:val="TableNormal"/>
    <w:uiPriority w:val="48"/>
    <w:rsid w:val="00BE28F6"/>
    <w:pPr>
      <w:spacing w:after="0" w:line="240" w:lineRule="auto"/>
    </w:pPr>
    <w:tblPr>
      <w:tblStyleRowBandSize w:val="1"/>
      <w:tblStyleColBandSize w:val="1"/>
      <w:tblBorders>
        <w:top w:val="single" w:sz="4" w:space="0" w:color="7A96FF" w:themeColor="accent3" w:themeTint="99"/>
        <w:left w:val="single" w:sz="4" w:space="0" w:color="7A96FF" w:themeColor="accent3" w:themeTint="99"/>
        <w:bottom w:val="single" w:sz="4" w:space="0" w:color="7A96FF" w:themeColor="accent3" w:themeTint="99"/>
        <w:right w:val="single" w:sz="4" w:space="0" w:color="7A96FF" w:themeColor="accent3" w:themeTint="99"/>
        <w:insideH w:val="single" w:sz="4" w:space="0" w:color="7A96FF" w:themeColor="accent3" w:themeTint="99"/>
        <w:insideV w:val="single" w:sz="4" w:space="0" w:color="7A96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CFF" w:themeFill="accent3" w:themeFillTint="33"/>
      </w:tcPr>
    </w:tblStylePr>
    <w:tblStylePr w:type="band1Horz">
      <w:tblPr/>
      <w:tcPr>
        <w:shd w:val="clear" w:color="auto" w:fill="D2DCFF" w:themeFill="accent3" w:themeFillTint="33"/>
      </w:tcPr>
    </w:tblStylePr>
    <w:tblStylePr w:type="neCell">
      <w:tblPr/>
      <w:tcPr>
        <w:tcBorders>
          <w:bottom w:val="single" w:sz="4" w:space="0" w:color="7A96FF" w:themeColor="accent3" w:themeTint="99"/>
        </w:tcBorders>
      </w:tcPr>
    </w:tblStylePr>
    <w:tblStylePr w:type="nwCell">
      <w:tblPr/>
      <w:tcPr>
        <w:tcBorders>
          <w:bottom w:val="single" w:sz="4" w:space="0" w:color="7A96FF" w:themeColor="accent3" w:themeTint="99"/>
        </w:tcBorders>
      </w:tcPr>
    </w:tblStylePr>
    <w:tblStylePr w:type="seCell">
      <w:tblPr/>
      <w:tcPr>
        <w:tcBorders>
          <w:top w:val="single" w:sz="4" w:space="0" w:color="7A96FF" w:themeColor="accent3" w:themeTint="99"/>
        </w:tcBorders>
      </w:tcPr>
    </w:tblStylePr>
    <w:tblStylePr w:type="swCell">
      <w:tblPr/>
      <w:tcPr>
        <w:tcBorders>
          <w:top w:val="single" w:sz="4" w:space="0" w:color="7A96FF" w:themeColor="accent3" w:themeTint="99"/>
        </w:tcBorders>
      </w:tcPr>
    </w:tblStylePr>
  </w:style>
  <w:style w:type="table" w:styleId="GridTable3-Accent4">
    <w:name w:val="Grid Table 3 Accent 4"/>
    <w:basedOn w:val="TableNormal"/>
    <w:uiPriority w:val="48"/>
    <w:rsid w:val="00BE28F6"/>
    <w:pPr>
      <w:spacing w:after="0" w:line="240" w:lineRule="auto"/>
    </w:pPr>
    <w:tblPr>
      <w:tblStyleRowBandSize w:val="1"/>
      <w:tblStyleColBandSize w:val="1"/>
      <w:tblBorders>
        <w:top w:val="single" w:sz="4" w:space="0" w:color="CCEFF6" w:themeColor="accent4" w:themeTint="99"/>
        <w:left w:val="single" w:sz="4" w:space="0" w:color="CCEFF6" w:themeColor="accent4" w:themeTint="99"/>
        <w:bottom w:val="single" w:sz="4" w:space="0" w:color="CCEFF6" w:themeColor="accent4" w:themeTint="99"/>
        <w:right w:val="single" w:sz="4" w:space="0" w:color="CCEFF6" w:themeColor="accent4" w:themeTint="99"/>
        <w:insideH w:val="single" w:sz="4" w:space="0" w:color="CCEFF6" w:themeColor="accent4" w:themeTint="99"/>
        <w:insideV w:val="single" w:sz="4" w:space="0" w:color="CCEFF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9FC" w:themeFill="accent4" w:themeFillTint="33"/>
      </w:tcPr>
    </w:tblStylePr>
    <w:tblStylePr w:type="band1Horz">
      <w:tblPr/>
      <w:tcPr>
        <w:shd w:val="clear" w:color="auto" w:fill="EEF9FC" w:themeFill="accent4" w:themeFillTint="33"/>
      </w:tcPr>
    </w:tblStylePr>
    <w:tblStylePr w:type="neCell">
      <w:tblPr/>
      <w:tcPr>
        <w:tcBorders>
          <w:bottom w:val="single" w:sz="4" w:space="0" w:color="CCEFF6" w:themeColor="accent4" w:themeTint="99"/>
        </w:tcBorders>
      </w:tcPr>
    </w:tblStylePr>
    <w:tblStylePr w:type="nwCell">
      <w:tblPr/>
      <w:tcPr>
        <w:tcBorders>
          <w:bottom w:val="single" w:sz="4" w:space="0" w:color="CCEFF6" w:themeColor="accent4" w:themeTint="99"/>
        </w:tcBorders>
      </w:tcPr>
    </w:tblStylePr>
    <w:tblStylePr w:type="seCell">
      <w:tblPr/>
      <w:tcPr>
        <w:tcBorders>
          <w:top w:val="single" w:sz="4" w:space="0" w:color="CCEFF6" w:themeColor="accent4" w:themeTint="99"/>
        </w:tcBorders>
      </w:tcPr>
    </w:tblStylePr>
    <w:tblStylePr w:type="swCell">
      <w:tblPr/>
      <w:tcPr>
        <w:tcBorders>
          <w:top w:val="single" w:sz="4" w:space="0" w:color="CCEFF6" w:themeColor="accent4" w:themeTint="99"/>
        </w:tcBorders>
      </w:tcPr>
    </w:tblStylePr>
  </w:style>
  <w:style w:type="table" w:styleId="GridTable3-Accent5">
    <w:name w:val="Grid Table 3 Accent 5"/>
    <w:basedOn w:val="TableNormal"/>
    <w:uiPriority w:val="48"/>
    <w:rsid w:val="00BE28F6"/>
    <w:pPr>
      <w:spacing w:after="0" w:line="240" w:lineRule="auto"/>
    </w:pPr>
    <w:tblPr>
      <w:tblStyleRowBandSize w:val="1"/>
      <w:tblStyleColBandSize w:val="1"/>
      <w:tblBorders>
        <w:top w:val="single" w:sz="4" w:space="0" w:color="85C2D6" w:themeColor="accent5" w:themeTint="99"/>
        <w:left w:val="single" w:sz="4" w:space="0" w:color="85C2D6" w:themeColor="accent5" w:themeTint="99"/>
        <w:bottom w:val="single" w:sz="4" w:space="0" w:color="85C2D6" w:themeColor="accent5" w:themeTint="99"/>
        <w:right w:val="single" w:sz="4" w:space="0" w:color="85C2D6" w:themeColor="accent5" w:themeTint="99"/>
        <w:insideH w:val="single" w:sz="4" w:space="0" w:color="85C2D6" w:themeColor="accent5" w:themeTint="99"/>
        <w:insideV w:val="single" w:sz="4" w:space="0" w:color="85C2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AF1" w:themeFill="accent5" w:themeFillTint="33"/>
      </w:tcPr>
    </w:tblStylePr>
    <w:tblStylePr w:type="band1Horz">
      <w:tblPr/>
      <w:tcPr>
        <w:shd w:val="clear" w:color="auto" w:fill="D6EAF1" w:themeFill="accent5" w:themeFillTint="33"/>
      </w:tcPr>
    </w:tblStylePr>
    <w:tblStylePr w:type="neCell">
      <w:tblPr/>
      <w:tcPr>
        <w:tcBorders>
          <w:bottom w:val="single" w:sz="4" w:space="0" w:color="85C2D6" w:themeColor="accent5" w:themeTint="99"/>
        </w:tcBorders>
      </w:tcPr>
    </w:tblStylePr>
    <w:tblStylePr w:type="nwCell">
      <w:tblPr/>
      <w:tcPr>
        <w:tcBorders>
          <w:bottom w:val="single" w:sz="4" w:space="0" w:color="85C2D6" w:themeColor="accent5" w:themeTint="99"/>
        </w:tcBorders>
      </w:tcPr>
    </w:tblStylePr>
    <w:tblStylePr w:type="seCell">
      <w:tblPr/>
      <w:tcPr>
        <w:tcBorders>
          <w:top w:val="single" w:sz="4" w:space="0" w:color="85C2D6" w:themeColor="accent5" w:themeTint="99"/>
        </w:tcBorders>
      </w:tcPr>
    </w:tblStylePr>
    <w:tblStylePr w:type="swCell">
      <w:tblPr/>
      <w:tcPr>
        <w:tcBorders>
          <w:top w:val="single" w:sz="4" w:space="0" w:color="85C2D6" w:themeColor="accent5" w:themeTint="99"/>
        </w:tcBorders>
      </w:tcPr>
    </w:tblStylePr>
  </w:style>
  <w:style w:type="table" w:styleId="GridTable3-Accent6">
    <w:name w:val="Grid Table 3 Accent 6"/>
    <w:basedOn w:val="TableNormal"/>
    <w:uiPriority w:val="48"/>
    <w:rsid w:val="00BE28F6"/>
    <w:pPr>
      <w:spacing w:after="0" w:line="240" w:lineRule="auto"/>
    </w:pPr>
    <w:tblPr>
      <w:tblStyleRowBandSize w:val="1"/>
      <w:tblStyleColBandSize w:val="1"/>
      <w:tblBorders>
        <w:top w:val="single" w:sz="4" w:space="0" w:color="CFDAFF" w:themeColor="accent6" w:themeTint="99"/>
        <w:left w:val="single" w:sz="4" w:space="0" w:color="CFDAFF" w:themeColor="accent6" w:themeTint="99"/>
        <w:bottom w:val="single" w:sz="4" w:space="0" w:color="CFDAFF" w:themeColor="accent6" w:themeTint="99"/>
        <w:right w:val="single" w:sz="4" w:space="0" w:color="CFDAFF" w:themeColor="accent6" w:themeTint="99"/>
        <w:insideH w:val="single" w:sz="4" w:space="0" w:color="CFDAFF" w:themeColor="accent6" w:themeTint="99"/>
        <w:insideV w:val="single" w:sz="4" w:space="0" w:color="CFDA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2FF" w:themeFill="accent6" w:themeFillTint="33"/>
      </w:tcPr>
    </w:tblStylePr>
    <w:tblStylePr w:type="band1Horz">
      <w:tblPr/>
      <w:tcPr>
        <w:shd w:val="clear" w:color="auto" w:fill="EFF2FF" w:themeFill="accent6" w:themeFillTint="33"/>
      </w:tcPr>
    </w:tblStylePr>
    <w:tblStylePr w:type="neCell">
      <w:tblPr/>
      <w:tcPr>
        <w:tcBorders>
          <w:bottom w:val="single" w:sz="4" w:space="0" w:color="CFDAFF" w:themeColor="accent6" w:themeTint="99"/>
        </w:tcBorders>
      </w:tcPr>
    </w:tblStylePr>
    <w:tblStylePr w:type="nwCell">
      <w:tblPr/>
      <w:tcPr>
        <w:tcBorders>
          <w:bottom w:val="single" w:sz="4" w:space="0" w:color="CFDAFF" w:themeColor="accent6" w:themeTint="99"/>
        </w:tcBorders>
      </w:tcPr>
    </w:tblStylePr>
    <w:tblStylePr w:type="seCell">
      <w:tblPr/>
      <w:tcPr>
        <w:tcBorders>
          <w:top w:val="single" w:sz="4" w:space="0" w:color="CFDAFF" w:themeColor="accent6" w:themeTint="99"/>
        </w:tcBorders>
      </w:tcPr>
    </w:tblStylePr>
    <w:tblStylePr w:type="swCell">
      <w:tblPr/>
      <w:tcPr>
        <w:tcBorders>
          <w:top w:val="single" w:sz="4" w:space="0" w:color="CFDAFF" w:themeColor="accent6" w:themeTint="99"/>
        </w:tcBorders>
      </w:tcPr>
    </w:tblStylePr>
  </w:style>
  <w:style w:type="table" w:styleId="GridTable4">
    <w:name w:val="Grid Table 4"/>
    <w:basedOn w:val="TableNormal"/>
    <w:uiPriority w:val="49"/>
    <w:rsid w:val="00BE28F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BE28F6"/>
    <w:pPr>
      <w:spacing w:after="0" w:line="240" w:lineRule="auto"/>
    </w:pPr>
    <w:tblPr>
      <w:tblStyleRowBandSize w:val="1"/>
      <w:tblStyleColBandSize w:val="1"/>
      <w:tblBorders>
        <w:top w:val="single" w:sz="4" w:space="0" w:color="1885D1" w:themeColor="accent1" w:themeTint="99"/>
        <w:left w:val="single" w:sz="4" w:space="0" w:color="1885D1" w:themeColor="accent1" w:themeTint="99"/>
        <w:bottom w:val="single" w:sz="4" w:space="0" w:color="1885D1" w:themeColor="accent1" w:themeTint="99"/>
        <w:right w:val="single" w:sz="4" w:space="0" w:color="1885D1" w:themeColor="accent1" w:themeTint="99"/>
        <w:insideH w:val="single" w:sz="4" w:space="0" w:color="1885D1" w:themeColor="accent1" w:themeTint="99"/>
        <w:insideV w:val="single" w:sz="4" w:space="0" w:color="1885D1" w:themeColor="accent1" w:themeTint="99"/>
      </w:tblBorders>
    </w:tblPr>
    <w:tblStylePr w:type="firstRow">
      <w:rPr>
        <w:b/>
        <w:bCs/>
        <w:color w:val="FFFFFF" w:themeColor="background1"/>
      </w:rPr>
      <w:tblPr/>
      <w:tcPr>
        <w:tcBorders>
          <w:top w:val="single" w:sz="4" w:space="0" w:color="051C2C" w:themeColor="accent1"/>
          <w:left w:val="single" w:sz="4" w:space="0" w:color="051C2C" w:themeColor="accent1"/>
          <w:bottom w:val="single" w:sz="4" w:space="0" w:color="051C2C" w:themeColor="accent1"/>
          <w:right w:val="single" w:sz="4" w:space="0" w:color="051C2C" w:themeColor="accent1"/>
          <w:insideH w:val="nil"/>
          <w:insideV w:val="nil"/>
        </w:tcBorders>
        <w:shd w:val="clear" w:color="auto" w:fill="051C2C" w:themeFill="accent1"/>
      </w:tcPr>
    </w:tblStylePr>
    <w:tblStylePr w:type="lastRow">
      <w:rPr>
        <w:b/>
        <w:bCs/>
      </w:rPr>
      <w:tblPr/>
      <w:tcPr>
        <w:tcBorders>
          <w:top w:val="double" w:sz="4" w:space="0" w:color="051C2C" w:themeColor="accent1"/>
        </w:tcBorders>
      </w:tcPr>
    </w:tblStylePr>
    <w:tblStylePr w:type="firstCol">
      <w:rPr>
        <w:b/>
        <w:bCs/>
      </w:rPr>
    </w:tblStylePr>
    <w:tblStylePr w:type="lastCol">
      <w:rPr>
        <w:b/>
        <w:bCs/>
      </w:rPr>
    </w:tblStylePr>
    <w:tblStylePr w:type="band1Vert">
      <w:tblPr/>
      <w:tcPr>
        <w:shd w:val="clear" w:color="auto" w:fill="ACD7F5" w:themeFill="accent1" w:themeFillTint="33"/>
      </w:tcPr>
    </w:tblStylePr>
    <w:tblStylePr w:type="band1Horz">
      <w:tblPr/>
      <w:tcPr>
        <w:shd w:val="clear" w:color="auto" w:fill="ACD7F5" w:themeFill="accent1" w:themeFillTint="33"/>
      </w:tcPr>
    </w:tblStylePr>
  </w:style>
  <w:style w:type="table" w:styleId="GridTable4-Accent2">
    <w:name w:val="Grid Table 4 Accent 2"/>
    <w:basedOn w:val="TableNormal"/>
    <w:uiPriority w:val="49"/>
    <w:rsid w:val="00BE28F6"/>
    <w:pPr>
      <w:spacing w:after="0" w:line="240" w:lineRule="auto"/>
    </w:pPr>
    <w:tblPr>
      <w:tblStyleRowBandSize w:val="1"/>
      <w:tblStyleColBandSize w:val="1"/>
      <w:tblBorders>
        <w:top w:val="single" w:sz="4" w:space="0" w:color="5FCDFF" w:themeColor="accent2" w:themeTint="99"/>
        <w:left w:val="single" w:sz="4" w:space="0" w:color="5FCDFF" w:themeColor="accent2" w:themeTint="99"/>
        <w:bottom w:val="single" w:sz="4" w:space="0" w:color="5FCDFF" w:themeColor="accent2" w:themeTint="99"/>
        <w:right w:val="single" w:sz="4" w:space="0" w:color="5FCDFF" w:themeColor="accent2" w:themeTint="99"/>
        <w:insideH w:val="single" w:sz="4" w:space="0" w:color="5FCDFF" w:themeColor="accent2" w:themeTint="99"/>
        <w:insideV w:val="single" w:sz="4" w:space="0" w:color="5FCDFF" w:themeColor="accent2" w:themeTint="99"/>
      </w:tblBorders>
    </w:tblPr>
    <w:tblStylePr w:type="firstRow">
      <w:rPr>
        <w:b/>
        <w:bCs/>
        <w:color w:val="FFFFFF" w:themeColor="background1"/>
      </w:rPr>
      <w:tblPr/>
      <w:tcPr>
        <w:tcBorders>
          <w:top w:val="single" w:sz="4" w:space="0" w:color="00A9F4" w:themeColor="accent2"/>
          <w:left w:val="single" w:sz="4" w:space="0" w:color="00A9F4" w:themeColor="accent2"/>
          <w:bottom w:val="single" w:sz="4" w:space="0" w:color="00A9F4" w:themeColor="accent2"/>
          <w:right w:val="single" w:sz="4" w:space="0" w:color="00A9F4" w:themeColor="accent2"/>
          <w:insideH w:val="nil"/>
          <w:insideV w:val="nil"/>
        </w:tcBorders>
        <w:shd w:val="clear" w:color="auto" w:fill="00A9F4" w:themeFill="accent2"/>
      </w:tcPr>
    </w:tblStylePr>
    <w:tblStylePr w:type="lastRow">
      <w:rPr>
        <w:b/>
        <w:bCs/>
      </w:rPr>
      <w:tblPr/>
      <w:tcPr>
        <w:tcBorders>
          <w:top w:val="double" w:sz="4" w:space="0" w:color="00A9F4" w:themeColor="accent2"/>
        </w:tcBorders>
      </w:tcPr>
    </w:tblStylePr>
    <w:tblStylePr w:type="firstCol">
      <w:rPr>
        <w:b/>
        <w:bCs/>
      </w:rPr>
    </w:tblStylePr>
    <w:tblStylePr w:type="lastCol">
      <w:rPr>
        <w:b/>
        <w:bCs/>
      </w:rPr>
    </w:tblStylePr>
    <w:tblStylePr w:type="band1Vert">
      <w:tblPr/>
      <w:tcPr>
        <w:shd w:val="clear" w:color="auto" w:fill="C9EEFF" w:themeFill="accent2" w:themeFillTint="33"/>
      </w:tcPr>
    </w:tblStylePr>
    <w:tblStylePr w:type="band1Horz">
      <w:tblPr/>
      <w:tcPr>
        <w:shd w:val="clear" w:color="auto" w:fill="C9EEFF" w:themeFill="accent2" w:themeFillTint="33"/>
      </w:tcPr>
    </w:tblStylePr>
  </w:style>
  <w:style w:type="table" w:styleId="GridTable4-Accent3">
    <w:name w:val="Grid Table 4 Accent 3"/>
    <w:basedOn w:val="TableNormal"/>
    <w:uiPriority w:val="49"/>
    <w:rsid w:val="00BE28F6"/>
    <w:pPr>
      <w:spacing w:after="0" w:line="240" w:lineRule="auto"/>
    </w:pPr>
    <w:tblPr>
      <w:tblStyleRowBandSize w:val="1"/>
      <w:tblStyleColBandSize w:val="1"/>
      <w:tblBorders>
        <w:top w:val="single" w:sz="4" w:space="0" w:color="7A96FF" w:themeColor="accent3" w:themeTint="99"/>
        <w:left w:val="single" w:sz="4" w:space="0" w:color="7A96FF" w:themeColor="accent3" w:themeTint="99"/>
        <w:bottom w:val="single" w:sz="4" w:space="0" w:color="7A96FF" w:themeColor="accent3" w:themeTint="99"/>
        <w:right w:val="single" w:sz="4" w:space="0" w:color="7A96FF" w:themeColor="accent3" w:themeTint="99"/>
        <w:insideH w:val="single" w:sz="4" w:space="0" w:color="7A96FF" w:themeColor="accent3" w:themeTint="99"/>
        <w:insideV w:val="single" w:sz="4" w:space="0" w:color="7A96FF" w:themeColor="accent3" w:themeTint="99"/>
      </w:tblBorders>
    </w:tblPr>
    <w:tblStylePr w:type="firstRow">
      <w:rPr>
        <w:b/>
        <w:bCs/>
        <w:color w:val="FFFFFF" w:themeColor="background1"/>
      </w:rPr>
      <w:tblPr/>
      <w:tcPr>
        <w:tcBorders>
          <w:top w:val="single" w:sz="4" w:space="0" w:color="2251FF" w:themeColor="accent3"/>
          <w:left w:val="single" w:sz="4" w:space="0" w:color="2251FF" w:themeColor="accent3"/>
          <w:bottom w:val="single" w:sz="4" w:space="0" w:color="2251FF" w:themeColor="accent3"/>
          <w:right w:val="single" w:sz="4" w:space="0" w:color="2251FF" w:themeColor="accent3"/>
          <w:insideH w:val="nil"/>
          <w:insideV w:val="nil"/>
        </w:tcBorders>
        <w:shd w:val="clear" w:color="auto" w:fill="2251FF" w:themeFill="accent3"/>
      </w:tcPr>
    </w:tblStylePr>
    <w:tblStylePr w:type="lastRow">
      <w:rPr>
        <w:b/>
        <w:bCs/>
      </w:rPr>
      <w:tblPr/>
      <w:tcPr>
        <w:tcBorders>
          <w:top w:val="double" w:sz="4" w:space="0" w:color="2251FF" w:themeColor="accent3"/>
        </w:tcBorders>
      </w:tcPr>
    </w:tblStylePr>
    <w:tblStylePr w:type="firstCol">
      <w:rPr>
        <w:b/>
        <w:bCs/>
      </w:rPr>
    </w:tblStylePr>
    <w:tblStylePr w:type="lastCol">
      <w:rPr>
        <w:b/>
        <w:bCs/>
      </w:rPr>
    </w:tblStylePr>
    <w:tblStylePr w:type="band1Vert">
      <w:tblPr/>
      <w:tcPr>
        <w:shd w:val="clear" w:color="auto" w:fill="D2DCFF" w:themeFill="accent3" w:themeFillTint="33"/>
      </w:tcPr>
    </w:tblStylePr>
    <w:tblStylePr w:type="band1Horz">
      <w:tblPr/>
      <w:tcPr>
        <w:shd w:val="clear" w:color="auto" w:fill="D2DCFF" w:themeFill="accent3" w:themeFillTint="33"/>
      </w:tcPr>
    </w:tblStylePr>
  </w:style>
  <w:style w:type="table" w:styleId="GridTable4-Accent4">
    <w:name w:val="Grid Table 4 Accent 4"/>
    <w:basedOn w:val="TableNormal"/>
    <w:uiPriority w:val="49"/>
    <w:rsid w:val="00BE28F6"/>
    <w:pPr>
      <w:spacing w:after="0" w:line="240" w:lineRule="auto"/>
    </w:pPr>
    <w:tblPr>
      <w:tblStyleRowBandSize w:val="1"/>
      <w:tblStyleColBandSize w:val="1"/>
      <w:tblBorders>
        <w:top w:val="single" w:sz="4" w:space="0" w:color="CCEFF6" w:themeColor="accent4" w:themeTint="99"/>
        <w:left w:val="single" w:sz="4" w:space="0" w:color="CCEFF6" w:themeColor="accent4" w:themeTint="99"/>
        <w:bottom w:val="single" w:sz="4" w:space="0" w:color="CCEFF6" w:themeColor="accent4" w:themeTint="99"/>
        <w:right w:val="single" w:sz="4" w:space="0" w:color="CCEFF6" w:themeColor="accent4" w:themeTint="99"/>
        <w:insideH w:val="single" w:sz="4" w:space="0" w:color="CCEFF6" w:themeColor="accent4" w:themeTint="99"/>
        <w:insideV w:val="single" w:sz="4" w:space="0" w:color="CCEFF6" w:themeColor="accent4" w:themeTint="99"/>
      </w:tblBorders>
    </w:tblPr>
    <w:tblStylePr w:type="firstRow">
      <w:rPr>
        <w:b/>
        <w:bCs/>
        <w:color w:val="FFFFFF" w:themeColor="background1"/>
      </w:rPr>
      <w:tblPr/>
      <w:tcPr>
        <w:tcBorders>
          <w:top w:val="single" w:sz="4" w:space="0" w:color="AAE6F0" w:themeColor="accent4"/>
          <w:left w:val="single" w:sz="4" w:space="0" w:color="AAE6F0" w:themeColor="accent4"/>
          <w:bottom w:val="single" w:sz="4" w:space="0" w:color="AAE6F0" w:themeColor="accent4"/>
          <w:right w:val="single" w:sz="4" w:space="0" w:color="AAE6F0" w:themeColor="accent4"/>
          <w:insideH w:val="nil"/>
          <w:insideV w:val="nil"/>
        </w:tcBorders>
        <w:shd w:val="clear" w:color="auto" w:fill="AAE6F0" w:themeFill="accent4"/>
      </w:tcPr>
    </w:tblStylePr>
    <w:tblStylePr w:type="lastRow">
      <w:rPr>
        <w:b/>
        <w:bCs/>
      </w:rPr>
      <w:tblPr/>
      <w:tcPr>
        <w:tcBorders>
          <w:top w:val="double" w:sz="4" w:space="0" w:color="AAE6F0" w:themeColor="accent4"/>
        </w:tcBorders>
      </w:tcPr>
    </w:tblStylePr>
    <w:tblStylePr w:type="firstCol">
      <w:rPr>
        <w:b/>
        <w:bCs/>
      </w:rPr>
    </w:tblStylePr>
    <w:tblStylePr w:type="lastCol">
      <w:rPr>
        <w:b/>
        <w:bCs/>
      </w:rPr>
    </w:tblStylePr>
    <w:tblStylePr w:type="band1Vert">
      <w:tblPr/>
      <w:tcPr>
        <w:shd w:val="clear" w:color="auto" w:fill="EEF9FC" w:themeFill="accent4" w:themeFillTint="33"/>
      </w:tcPr>
    </w:tblStylePr>
    <w:tblStylePr w:type="band1Horz">
      <w:tblPr/>
      <w:tcPr>
        <w:shd w:val="clear" w:color="auto" w:fill="EEF9FC" w:themeFill="accent4" w:themeFillTint="33"/>
      </w:tcPr>
    </w:tblStylePr>
  </w:style>
  <w:style w:type="table" w:styleId="GridTable4-Accent5">
    <w:name w:val="Grid Table 4 Accent 5"/>
    <w:basedOn w:val="TableNormal"/>
    <w:uiPriority w:val="49"/>
    <w:rsid w:val="00BE28F6"/>
    <w:pPr>
      <w:spacing w:after="0" w:line="240" w:lineRule="auto"/>
    </w:pPr>
    <w:tblPr>
      <w:tblStyleRowBandSize w:val="1"/>
      <w:tblStyleColBandSize w:val="1"/>
      <w:tblBorders>
        <w:top w:val="single" w:sz="4" w:space="0" w:color="85C2D6" w:themeColor="accent5" w:themeTint="99"/>
        <w:left w:val="single" w:sz="4" w:space="0" w:color="85C2D6" w:themeColor="accent5" w:themeTint="99"/>
        <w:bottom w:val="single" w:sz="4" w:space="0" w:color="85C2D6" w:themeColor="accent5" w:themeTint="99"/>
        <w:right w:val="single" w:sz="4" w:space="0" w:color="85C2D6" w:themeColor="accent5" w:themeTint="99"/>
        <w:insideH w:val="single" w:sz="4" w:space="0" w:color="85C2D6" w:themeColor="accent5" w:themeTint="99"/>
        <w:insideV w:val="single" w:sz="4" w:space="0" w:color="85C2D6" w:themeColor="accent5" w:themeTint="99"/>
      </w:tblBorders>
    </w:tblPr>
    <w:tblStylePr w:type="firstRow">
      <w:rPr>
        <w:b/>
        <w:bCs/>
        <w:color w:val="FFFFFF" w:themeColor="background1"/>
      </w:rPr>
      <w:tblPr/>
      <w:tcPr>
        <w:tcBorders>
          <w:top w:val="single" w:sz="4" w:space="0" w:color="3C96B4" w:themeColor="accent5"/>
          <w:left w:val="single" w:sz="4" w:space="0" w:color="3C96B4" w:themeColor="accent5"/>
          <w:bottom w:val="single" w:sz="4" w:space="0" w:color="3C96B4" w:themeColor="accent5"/>
          <w:right w:val="single" w:sz="4" w:space="0" w:color="3C96B4" w:themeColor="accent5"/>
          <w:insideH w:val="nil"/>
          <w:insideV w:val="nil"/>
        </w:tcBorders>
        <w:shd w:val="clear" w:color="auto" w:fill="3C96B4" w:themeFill="accent5"/>
      </w:tcPr>
    </w:tblStylePr>
    <w:tblStylePr w:type="lastRow">
      <w:rPr>
        <w:b/>
        <w:bCs/>
      </w:rPr>
      <w:tblPr/>
      <w:tcPr>
        <w:tcBorders>
          <w:top w:val="double" w:sz="4" w:space="0" w:color="3C96B4" w:themeColor="accent5"/>
        </w:tcBorders>
      </w:tcPr>
    </w:tblStylePr>
    <w:tblStylePr w:type="firstCol">
      <w:rPr>
        <w:b/>
        <w:bCs/>
      </w:rPr>
    </w:tblStylePr>
    <w:tblStylePr w:type="lastCol">
      <w:rPr>
        <w:b/>
        <w:bCs/>
      </w:rPr>
    </w:tblStylePr>
    <w:tblStylePr w:type="band1Vert">
      <w:tblPr/>
      <w:tcPr>
        <w:shd w:val="clear" w:color="auto" w:fill="D6EAF1" w:themeFill="accent5" w:themeFillTint="33"/>
      </w:tcPr>
    </w:tblStylePr>
    <w:tblStylePr w:type="band1Horz">
      <w:tblPr/>
      <w:tcPr>
        <w:shd w:val="clear" w:color="auto" w:fill="D6EAF1" w:themeFill="accent5" w:themeFillTint="33"/>
      </w:tcPr>
    </w:tblStylePr>
  </w:style>
  <w:style w:type="table" w:styleId="GridTable4-Accent6">
    <w:name w:val="Grid Table 4 Accent 6"/>
    <w:basedOn w:val="TableNormal"/>
    <w:uiPriority w:val="49"/>
    <w:rsid w:val="00BE28F6"/>
    <w:pPr>
      <w:spacing w:after="0" w:line="240" w:lineRule="auto"/>
    </w:pPr>
    <w:tblPr>
      <w:tblStyleRowBandSize w:val="1"/>
      <w:tblStyleColBandSize w:val="1"/>
      <w:tblBorders>
        <w:top w:val="single" w:sz="4" w:space="0" w:color="CFDAFF" w:themeColor="accent6" w:themeTint="99"/>
        <w:left w:val="single" w:sz="4" w:space="0" w:color="CFDAFF" w:themeColor="accent6" w:themeTint="99"/>
        <w:bottom w:val="single" w:sz="4" w:space="0" w:color="CFDAFF" w:themeColor="accent6" w:themeTint="99"/>
        <w:right w:val="single" w:sz="4" w:space="0" w:color="CFDAFF" w:themeColor="accent6" w:themeTint="99"/>
        <w:insideH w:val="single" w:sz="4" w:space="0" w:color="CFDAFF" w:themeColor="accent6" w:themeTint="99"/>
        <w:insideV w:val="single" w:sz="4" w:space="0" w:color="CFDAFF" w:themeColor="accent6" w:themeTint="99"/>
      </w:tblBorders>
    </w:tblPr>
    <w:tblStylePr w:type="firstRow">
      <w:rPr>
        <w:b/>
        <w:bCs/>
        <w:color w:val="FFFFFF" w:themeColor="background1"/>
      </w:rPr>
      <w:tblPr/>
      <w:tcPr>
        <w:tcBorders>
          <w:top w:val="single" w:sz="4" w:space="0" w:color="AFC3FF" w:themeColor="accent6"/>
          <w:left w:val="single" w:sz="4" w:space="0" w:color="AFC3FF" w:themeColor="accent6"/>
          <w:bottom w:val="single" w:sz="4" w:space="0" w:color="AFC3FF" w:themeColor="accent6"/>
          <w:right w:val="single" w:sz="4" w:space="0" w:color="AFC3FF" w:themeColor="accent6"/>
          <w:insideH w:val="nil"/>
          <w:insideV w:val="nil"/>
        </w:tcBorders>
        <w:shd w:val="clear" w:color="auto" w:fill="AFC3FF" w:themeFill="accent6"/>
      </w:tcPr>
    </w:tblStylePr>
    <w:tblStylePr w:type="lastRow">
      <w:rPr>
        <w:b/>
        <w:bCs/>
      </w:rPr>
      <w:tblPr/>
      <w:tcPr>
        <w:tcBorders>
          <w:top w:val="double" w:sz="4" w:space="0" w:color="AFC3FF" w:themeColor="accent6"/>
        </w:tcBorders>
      </w:tcPr>
    </w:tblStylePr>
    <w:tblStylePr w:type="firstCol">
      <w:rPr>
        <w:b/>
        <w:bCs/>
      </w:rPr>
    </w:tblStylePr>
    <w:tblStylePr w:type="lastCol">
      <w:rPr>
        <w:b/>
        <w:bCs/>
      </w:rPr>
    </w:tblStylePr>
    <w:tblStylePr w:type="band1Vert">
      <w:tblPr/>
      <w:tcPr>
        <w:shd w:val="clear" w:color="auto" w:fill="EFF2FF" w:themeFill="accent6" w:themeFillTint="33"/>
      </w:tcPr>
    </w:tblStylePr>
    <w:tblStylePr w:type="band1Horz">
      <w:tblPr/>
      <w:tcPr>
        <w:shd w:val="clear" w:color="auto" w:fill="EFF2FF" w:themeFill="accent6" w:themeFillTint="33"/>
      </w:tcPr>
    </w:tblStylePr>
  </w:style>
  <w:style w:type="table" w:styleId="GridTable5Dark">
    <w:name w:val="Grid Table 5 Dark"/>
    <w:basedOn w:val="TableNormal"/>
    <w:uiPriority w:val="50"/>
    <w:rsid w:val="00BE28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BE28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D7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1C2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1C2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1C2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1C2C" w:themeFill="accent1"/>
      </w:tcPr>
    </w:tblStylePr>
    <w:tblStylePr w:type="band1Vert">
      <w:tblPr/>
      <w:tcPr>
        <w:shd w:val="clear" w:color="auto" w:fill="59AFEC" w:themeFill="accent1" w:themeFillTint="66"/>
      </w:tcPr>
    </w:tblStylePr>
    <w:tblStylePr w:type="band1Horz">
      <w:tblPr/>
      <w:tcPr>
        <w:shd w:val="clear" w:color="auto" w:fill="59AFEC" w:themeFill="accent1" w:themeFillTint="66"/>
      </w:tcPr>
    </w:tblStylePr>
  </w:style>
  <w:style w:type="table" w:styleId="GridTable5Dark-Accent2">
    <w:name w:val="Grid Table 5 Dark Accent 2"/>
    <w:basedOn w:val="TableNormal"/>
    <w:uiPriority w:val="50"/>
    <w:rsid w:val="00BE28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9F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9F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9F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9F4" w:themeFill="accent2"/>
      </w:tcPr>
    </w:tblStylePr>
    <w:tblStylePr w:type="band1Vert">
      <w:tblPr/>
      <w:tcPr>
        <w:shd w:val="clear" w:color="auto" w:fill="94DDFF" w:themeFill="accent2" w:themeFillTint="66"/>
      </w:tcPr>
    </w:tblStylePr>
    <w:tblStylePr w:type="band1Horz">
      <w:tblPr/>
      <w:tcPr>
        <w:shd w:val="clear" w:color="auto" w:fill="94DDFF" w:themeFill="accent2" w:themeFillTint="66"/>
      </w:tcPr>
    </w:tblStylePr>
  </w:style>
  <w:style w:type="table" w:styleId="GridTable5Dark-Accent3">
    <w:name w:val="Grid Table 5 Dark Accent 3"/>
    <w:basedOn w:val="TableNormal"/>
    <w:uiPriority w:val="50"/>
    <w:rsid w:val="00BE28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C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251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251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251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251FF" w:themeFill="accent3"/>
      </w:tcPr>
    </w:tblStylePr>
    <w:tblStylePr w:type="band1Vert">
      <w:tblPr/>
      <w:tcPr>
        <w:shd w:val="clear" w:color="auto" w:fill="A6B9FF" w:themeFill="accent3" w:themeFillTint="66"/>
      </w:tcPr>
    </w:tblStylePr>
    <w:tblStylePr w:type="band1Horz">
      <w:tblPr/>
      <w:tcPr>
        <w:shd w:val="clear" w:color="auto" w:fill="A6B9FF" w:themeFill="accent3" w:themeFillTint="66"/>
      </w:tcPr>
    </w:tblStylePr>
  </w:style>
  <w:style w:type="table" w:styleId="GridTable5Dark-Accent4">
    <w:name w:val="Grid Table 5 Dark Accent 4"/>
    <w:basedOn w:val="TableNormal"/>
    <w:uiPriority w:val="50"/>
    <w:rsid w:val="00BE28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9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E6F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E6F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E6F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E6F0" w:themeFill="accent4"/>
      </w:tcPr>
    </w:tblStylePr>
    <w:tblStylePr w:type="band1Vert">
      <w:tblPr/>
      <w:tcPr>
        <w:shd w:val="clear" w:color="auto" w:fill="DDF4F9" w:themeFill="accent4" w:themeFillTint="66"/>
      </w:tcPr>
    </w:tblStylePr>
    <w:tblStylePr w:type="band1Horz">
      <w:tblPr/>
      <w:tcPr>
        <w:shd w:val="clear" w:color="auto" w:fill="DDF4F9" w:themeFill="accent4" w:themeFillTint="66"/>
      </w:tcPr>
    </w:tblStylePr>
  </w:style>
  <w:style w:type="table" w:styleId="GridTable5Dark-Accent5">
    <w:name w:val="Grid Table 5 Dark Accent 5"/>
    <w:basedOn w:val="TableNormal"/>
    <w:uiPriority w:val="50"/>
    <w:rsid w:val="00BE28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A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96B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96B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96B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96B4" w:themeFill="accent5"/>
      </w:tcPr>
    </w:tblStylePr>
    <w:tblStylePr w:type="band1Vert">
      <w:tblPr/>
      <w:tcPr>
        <w:shd w:val="clear" w:color="auto" w:fill="AED6E4" w:themeFill="accent5" w:themeFillTint="66"/>
      </w:tcPr>
    </w:tblStylePr>
    <w:tblStylePr w:type="band1Horz">
      <w:tblPr/>
      <w:tcPr>
        <w:shd w:val="clear" w:color="auto" w:fill="AED6E4" w:themeFill="accent5" w:themeFillTint="66"/>
      </w:tcPr>
    </w:tblStylePr>
  </w:style>
  <w:style w:type="table" w:styleId="GridTable5Dark-Accent6">
    <w:name w:val="Grid Table 5 Dark Accent 6"/>
    <w:basedOn w:val="TableNormal"/>
    <w:uiPriority w:val="50"/>
    <w:rsid w:val="00BE28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2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FC3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FC3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FC3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FC3FF" w:themeFill="accent6"/>
      </w:tcPr>
    </w:tblStylePr>
    <w:tblStylePr w:type="band1Vert">
      <w:tblPr/>
      <w:tcPr>
        <w:shd w:val="clear" w:color="auto" w:fill="DFE6FF" w:themeFill="accent6" w:themeFillTint="66"/>
      </w:tcPr>
    </w:tblStylePr>
    <w:tblStylePr w:type="band1Horz">
      <w:tblPr/>
      <w:tcPr>
        <w:shd w:val="clear" w:color="auto" w:fill="DFE6FF" w:themeFill="accent6" w:themeFillTint="66"/>
      </w:tcPr>
    </w:tblStylePr>
  </w:style>
  <w:style w:type="table" w:styleId="GridTable6Colorful">
    <w:name w:val="Grid Table 6 Colorful"/>
    <w:basedOn w:val="TableNormal"/>
    <w:uiPriority w:val="51"/>
    <w:rsid w:val="00BE28F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BE28F6"/>
    <w:pPr>
      <w:spacing w:after="0" w:line="240" w:lineRule="auto"/>
    </w:pPr>
    <w:rPr>
      <w:color w:val="031420" w:themeColor="accent1" w:themeShade="BF"/>
    </w:rPr>
    <w:tblPr>
      <w:tblStyleRowBandSize w:val="1"/>
      <w:tblStyleColBandSize w:val="1"/>
      <w:tblBorders>
        <w:top w:val="single" w:sz="4" w:space="0" w:color="1885D1" w:themeColor="accent1" w:themeTint="99"/>
        <w:left w:val="single" w:sz="4" w:space="0" w:color="1885D1" w:themeColor="accent1" w:themeTint="99"/>
        <w:bottom w:val="single" w:sz="4" w:space="0" w:color="1885D1" w:themeColor="accent1" w:themeTint="99"/>
        <w:right w:val="single" w:sz="4" w:space="0" w:color="1885D1" w:themeColor="accent1" w:themeTint="99"/>
        <w:insideH w:val="single" w:sz="4" w:space="0" w:color="1885D1" w:themeColor="accent1" w:themeTint="99"/>
        <w:insideV w:val="single" w:sz="4" w:space="0" w:color="1885D1" w:themeColor="accent1" w:themeTint="99"/>
      </w:tblBorders>
    </w:tblPr>
    <w:tblStylePr w:type="firstRow">
      <w:rPr>
        <w:b/>
        <w:bCs/>
      </w:rPr>
      <w:tblPr/>
      <w:tcPr>
        <w:tcBorders>
          <w:bottom w:val="single" w:sz="12" w:space="0" w:color="1885D1" w:themeColor="accent1" w:themeTint="99"/>
        </w:tcBorders>
      </w:tcPr>
    </w:tblStylePr>
    <w:tblStylePr w:type="lastRow">
      <w:rPr>
        <w:b/>
        <w:bCs/>
      </w:rPr>
      <w:tblPr/>
      <w:tcPr>
        <w:tcBorders>
          <w:top w:val="double" w:sz="4" w:space="0" w:color="1885D1" w:themeColor="accent1" w:themeTint="99"/>
        </w:tcBorders>
      </w:tcPr>
    </w:tblStylePr>
    <w:tblStylePr w:type="firstCol">
      <w:rPr>
        <w:b/>
        <w:bCs/>
      </w:rPr>
    </w:tblStylePr>
    <w:tblStylePr w:type="lastCol">
      <w:rPr>
        <w:b/>
        <w:bCs/>
      </w:rPr>
    </w:tblStylePr>
    <w:tblStylePr w:type="band1Vert">
      <w:tblPr/>
      <w:tcPr>
        <w:shd w:val="clear" w:color="auto" w:fill="ACD7F5" w:themeFill="accent1" w:themeFillTint="33"/>
      </w:tcPr>
    </w:tblStylePr>
    <w:tblStylePr w:type="band1Horz">
      <w:tblPr/>
      <w:tcPr>
        <w:shd w:val="clear" w:color="auto" w:fill="ACD7F5" w:themeFill="accent1" w:themeFillTint="33"/>
      </w:tcPr>
    </w:tblStylePr>
  </w:style>
  <w:style w:type="table" w:styleId="GridTable6Colorful-Accent2">
    <w:name w:val="Grid Table 6 Colorful Accent 2"/>
    <w:basedOn w:val="TableNormal"/>
    <w:uiPriority w:val="51"/>
    <w:rsid w:val="00BE28F6"/>
    <w:pPr>
      <w:spacing w:after="0" w:line="240" w:lineRule="auto"/>
    </w:pPr>
    <w:rPr>
      <w:color w:val="007EB6" w:themeColor="accent2" w:themeShade="BF"/>
    </w:rPr>
    <w:tblPr>
      <w:tblStyleRowBandSize w:val="1"/>
      <w:tblStyleColBandSize w:val="1"/>
      <w:tblBorders>
        <w:top w:val="single" w:sz="4" w:space="0" w:color="5FCDFF" w:themeColor="accent2" w:themeTint="99"/>
        <w:left w:val="single" w:sz="4" w:space="0" w:color="5FCDFF" w:themeColor="accent2" w:themeTint="99"/>
        <w:bottom w:val="single" w:sz="4" w:space="0" w:color="5FCDFF" w:themeColor="accent2" w:themeTint="99"/>
        <w:right w:val="single" w:sz="4" w:space="0" w:color="5FCDFF" w:themeColor="accent2" w:themeTint="99"/>
        <w:insideH w:val="single" w:sz="4" w:space="0" w:color="5FCDFF" w:themeColor="accent2" w:themeTint="99"/>
        <w:insideV w:val="single" w:sz="4" w:space="0" w:color="5FCDFF" w:themeColor="accent2" w:themeTint="99"/>
      </w:tblBorders>
    </w:tblPr>
    <w:tblStylePr w:type="firstRow">
      <w:rPr>
        <w:b/>
        <w:bCs/>
      </w:rPr>
      <w:tblPr/>
      <w:tcPr>
        <w:tcBorders>
          <w:bottom w:val="single" w:sz="12" w:space="0" w:color="5FCDFF" w:themeColor="accent2" w:themeTint="99"/>
        </w:tcBorders>
      </w:tcPr>
    </w:tblStylePr>
    <w:tblStylePr w:type="lastRow">
      <w:rPr>
        <w:b/>
        <w:bCs/>
      </w:rPr>
      <w:tblPr/>
      <w:tcPr>
        <w:tcBorders>
          <w:top w:val="double" w:sz="4" w:space="0" w:color="5FCDFF" w:themeColor="accent2" w:themeTint="99"/>
        </w:tcBorders>
      </w:tcPr>
    </w:tblStylePr>
    <w:tblStylePr w:type="firstCol">
      <w:rPr>
        <w:b/>
        <w:bCs/>
      </w:rPr>
    </w:tblStylePr>
    <w:tblStylePr w:type="lastCol">
      <w:rPr>
        <w:b/>
        <w:bCs/>
      </w:rPr>
    </w:tblStylePr>
    <w:tblStylePr w:type="band1Vert">
      <w:tblPr/>
      <w:tcPr>
        <w:shd w:val="clear" w:color="auto" w:fill="C9EEFF" w:themeFill="accent2" w:themeFillTint="33"/>
      </w:tcPr>
    </w:tblStylePr>
    <w:tblStylePr w:type="band1Horz">
      <w:tblPr/>
      <w:tcPr>
        <w:shd w:val="clear" w:color="auto" w:fill="C9EEFF" w:themeFill="accent2" w:themeFillTint="33"/>
      </w:tcPr>
    </w:tblStylePr>
  </w:style>
  <w:style w:type="table" w:styleId="GridTable6Colorful-Accent3">
    <w:name w:val="Grid Table 6 Colorful Accent 3"/>
    <w:basedOn w:val="TableNormal"/>
    <w:uiPriority w:val="51"/>
    <w:rsid w:val="00BE28F6"/>
    <w:pPr>
      <w:spacing w:after="0" w:line="240" w:lineRule="auto"/>
    </w:pPr>
    <w:rPr>
      <w:color w:val="002DD8" w:themeColor="accent3" w:themeShade="BF"/>
    </w:rPr>
    <w:tblPr>
      <w:tblStyleRowBandSize w:val="1"/>
      <w:tblStyleColBandSize w:val="1"/>
      <w:tblBorders>
        <w:top w:val="single" w:sz="4" w:space="0" w:color="7A96FF" w:themeColor="accent3" w:themeTint="99"/>
        <w:left w:val="single" w:sz="4" w:space="0" w:color="7A96FF" w:themeColor="accent3" w:themeTint="99"/>
        <w:bottom w:val="single" w:sz="4" w:space="0" w:color="7A96FF" w:themeColor="accent3" w:themeTint="99"/>
        <w:right w:val="single" w:sz="4" w:space="0" w:color="7A96FF" w:themeColor="accent3" w:themeTint="99"/>
        <w:insideH w:val="single" w:sz="4" w:space="0" w:color="7A96FF" w:themeColor="accent3" w:themeTint="99"/>
        <w:insideV w:val="single" w:sz="4" w:space="0" w:color="7A96FF" w:themeColor="accent3" w:themeTint="99"/>
      </w:tblBorders>
    </w:tblPr>
    <w:tblStylePr w:type="firstRow">
      <w:rPr>
        <w:b/>
        <w:bCs/>
      </w:rPr>
      <w:tblPr/>
      <w:tcPr>
        <w:tcBorders>
          <w:bottom w:val="single" w:sz="12" w:space="0" w:color="7A96FF" w:themeColor="accent3" w:themeTint="99"/>
        </w:tcBorders>
      </w:tcPr>
    </w:tblStylePr>
    <w:tblStylePr w:type="lastRow">
      <w:rPr>
        <w:b/>
        <w:bCs/>
      </w:rPr>
      <w:tblPr/>
      <w:tcPr>
        <w:tcBorders>
          <w:top w:val="double" w:sz="4" w:space="0" w:color="7A96FF" w:themeColor="accent3" w:themeTint="99"/>
        </w:tcBorders>
      </w:tcPr>
    </w:tblStylePr>
    <w:tblStylePr w:type="firstCol">
      <w:rPr>
        <w:b/>
        <w:bCs/>
      </w:rPr>
    </w:tblStylePr>
    <w:tblStylePr w:type="lastCol">
      <w:rPr>
        <w:b/>
        <w:bCs/>
      </w:rPr>
    </w:tblStylePr>
    <w:tblStylePr w:type="band1Vert">
      <w:tblPr/>
      <w:tcPr>
        <w:shd w:val="clear" w:color="auto" w:fill="D2DCFF" w:themeFill="accent3" w:themeFillTint="33"/>
      </w:tcPr>
    </w:tblStylePr>
    <w:tblStylePr w:type="band1Horz">
      <w:tblPr/>
      <w:tcPr>
        <w:shd w:val="clear" w:color="auto" w:fill="D2DCFF" w:themeFill="accent3" w:themeFillTint="33"/>
      </w:tcPr>
    </w:tblStylePr>
  </w:style>
  <w:style w:type="table" w:styleId="GridTable6Colorful-Accent4">
    <w:name w:val="Grid Table 6 Colorful Accent 4"/>
    <w:basedOn w:val="TableNormal"/>
    <w:uiPriority w:val="51"/>
    <w:rsid w:val="00BE28F6"/>
    <w:pPr>
      <w:spacing w:after="0" w:line="240" w:lineRule="auto"/>
    </w:pPr>
    <w:rPr>
      <w:color w:val="52CCE0" w:themeColor="accent4" w:themeShade="BF"/>
    </w:rPr>
    <w:tblPr>
      <w:tblStyleRowBandSize w:val="1"/>
      <w:tblStyleColBandSize w:val="1"/>
      <w:tblBorders>
        <w:top w:val="single" w:sz="4" w:space="0" w:color="CCEFF6" w:themeColor="accent4" w:themeTint="99"/>
        <w:left w:val="single" w:sz="4" w:space="0" w:color="CCEFF6" w:themeColor="accent4" w:themeTint="99"/>
        <w:bottom w:val="single" w:sz="4" w:space="0" w:color="CCEFF6" w:themeColor="accent4" w:themeTint="99"/>
        <w:right w:val="single" w:sz="4" w:space="0" w:color="CCEFF6" w:themeColor="accent4" w:themeTint="99"/>
        <w:insideH w:val="single" w:sz="4" w:space="0" w:color="CCEFF6" w:themeColor="accent4" w:themeTint="99"/>
        <w:insideV w:val="single" w:sz="4" w:space="0" w:color="CCEFF6" w:themeColor="accent4" w:themeTint="99"/>
      </w:tblBorders>
    </w:tblPr>
    <w:tblStylePr w:type="firstRow">
      <w:rPr>
        <w:b/>
        <w:bCs/>
      </w:rPr>
      <w:tblPr/>
      <w:tcPr>
        <w:tcBorders>
          <w:bottom w:val="single" w:sz="12" w:space="0" w:color="CCEFF6" w:themeColor="accent4" w:themeTint="99"/>
        </w:tcBorders>
      </w:tcPr>
    </w:tblStylePr>
    <w:tblStylePr w:type="lastRow">
      <w:rPr>
        <w:b/>
        <w:bCs/>
      </w:rPr>
      <w:tblPr/>
      <w:tcPr>
        <w:tcBorders>
          <w:top w:val="double" w:sz="4" w:space="0" w:color="CCEFF6" w:themeColor="accent4" w:themeTint="99"/>
        </w:tcBorders>
      </w:tcPr>
    </w:tblStylePr>
    <w:tblStylePr w:type="firstCol">
      <w:rPr>
        <w:b/>
        <w:bCs/>
      </w:rPr>
    </w:tblStylePr>
    <w:tblStylePr w:type="lastCol">
      <w:rPr>
        <w:b/>
        <w:bCs/>
      </w:rPr>
    </w:tblStylePr>
    <w:tblStylePr w:type="band1Vert">
      <w:tblPr/>
      <w:tcPr>
        <w:shd w:val="clear" w:color="auto" w:fill="EEF9FC" w:themeFill="accent4" w:themeFillTint="33"/>
      </w:tcPr>
    </w:tblStylePr>
    <w:tblStylePr w:type="band1Horz">
      <w:tblPr/>
      <w:tcPr>
        <w:shd w:val="clear" w:color="auto" w:fill="EEF9FC" w:themeFill="accent4" w:themeFillTint="33"/>
      </w:tcPr>
    </w:tblStylePr>
  </w:style>
  <w:style w:type="table" w:styleId="GridTable6Colorful-Accent5">
    <w:name w:val="Grid Table 6 Colorful Accent 5"/>
    <w:basedOn w:val="TableNormal"/>
    <w:uiPriority w:val="51"/>
    <w:rsid w:val="00BE28F6"/>
    <w:pPr>
      <w:spacing w:after="0" w:line="240" w:lineRule="auto"/>
    </w:pPr>
    <w:rPr>
      <w:color w:val="2D7086" w:themeColor="accent5" w:themeShade="BF"/>
    </w:rPr>
    <w:tblPr>
      <w:tblStyleRowBandSize w:val="1"/>
      <w:tblStyleColBandSize w:val="1"/>
      <w:tblBorders>
        <w:top w:val="single" w:sz="4" w:space="0" w:color="85C2D6" w:themeColor="accent5" w:themeTint="99"/>
        <w:left w:val="single" w:sz="4" w:space="0" w:color="85C2D6" w:themeColor="accent5" w:themeTint="99"/>
        <w:bottom w:val="single" w:sz="4" w:space="0" w:color="85C2D6" w:themeColor="accent5" w:themeTint="99"/>
        <w:right w:val="single" w:sz="4" w:space="0" w:color="85C2D6" w:themeColor="accent5" w:themeTint="99"/>
        <w:insideH w:val="single" w:sz="4" w:space="0" w:color="85C2D6" w:themeColor="accent5" w:themeTint="99"/>
        <w:insideV w:val="single" w:sz="4" w:space="0" w:color="85C2D6" w:themeColor="accent5" w:themeTint="99"/>
      </w:tblBorders>
    </w:tblPr>
    <w:tblStylePr w:type="firstRow">
      <w:rPr>
        <w:b/>
        <w:bCs/>
      </w:rPr>
      <w:tblPr/>
      <w:tcPr>
        <w:tcBorders>
          <w:bottom w:val="single" w:sz="12" w:space="0" w:color="85C2D6" w:themeColor="accent5" w:themeTint="99"/>
        </w:tcBorders>
      </w:tcPr>
    </w:tblStylePr>
    <w:tblStylePr w:type="lastRow">
      <w:rPr>
        <w:b/>
        <w:bCs/>
      </w:rPr>
      <w:tblPr/>
      <w:tcPr>
        <w:tcBorders>
          <w:top w:val="double" w:sz="4" w:space="0" w:color="85C2D6" w:themeColor="accent5" w:themeTint="99"/>
        </w:tcBorders>
      </w:tcPr>
    </w:tblStylePr>
    <w:tblStylePr w:type="firstCol">
      <w:rPr>
        <w:b/>
        <w:bCs/>
      </w:rPr>
    </w:tblStylePr>
    <w:tblStylePr w:type="lastCol">
      <w:rPr>
        <w:b/>
        <w:bCs/>
      </w:rPr>
    </w:tblStylePr>
    <w:tblStylePr w:type="band1Vert">
      <w:tblPr/>
      <w:tcPr>
        <w:shd w:val="clear" w:color="auto" w:fill="D6EAF1" w:themeFill="accent5" w:themeFillTint="33"/>
      </w:tcPr>
    </w:tblStylePr>
    <w:tblStylePr w:type="band1Horz">
      <w:tblPr/>
      <w:tcPr>
        <w:shd w:val="clear" w:color="auto" w:fill="D6EAF1" w:themeFill="accent5" w:themeFillTint="33"/>
      </w:tcPr>
    </w:tblStylePr>
  </w:style>
  <w:style w:type="table" w:styleId="GridTable6Colorful-Accent6">
    <w:name w:val="Grid Table 6 Colorful Accent 6"/>
    <w:basedOn w:val="TableNormal"/>
    <w:uiPriority w:val="51"/>
    <w:rsid w:val="00BE28F6"/>
    <w:pPr>
      <w:spacing w:after="0" w:line="240" w:lineRule="auto"/>
    </w:pPr>
    <w:rPr>
      <w:color w:val="4371FF" w:themeColor="accent6" w:themeShade="BF"/>
    </w:rPr>
    <w:tblPr>
      <w:tblStyleRowBandSize w:val="1"/>
      <w:tblStyleColBandSize w:val="1"/>
      <w:tblBorders>
        <w:top w:val="single" w:sz="4" w:space="0" w:color="CFDAFF" w:themeColor="accent6" w:themeTint="99"/>
        <w:left w:val="single" w:sz="4" w:space="0" w:color="CFDAFF" w:themeColor="accent6" w:themeTint="99"/>
        <w:bottom w:val="single" w:sz="4" w:space="0" w:color="CFDAFF" w:themeColor="accent6" w:themeTint="99"/>
        <w:right w:val="single" w:sz="4" w:space="0" w:color="CFDAFF" w:themeColor="accent6" w:themeTint="99"/>
        <w:insideH w:val="single" w:sz="4" w:space="0" w:color="CFDAFF" w:themeColor="accent6" w:themeTint="99"/>
        <w:insideV w:val="single" w:sz="4" w:space="0" w:color="CFDAFF" w:themeColor="accent6" w:themeTint="99"/>
      </w:tblBorders>
    </w:tblPr>
    <w:tblStylePr w:type="firstRow">
      <w:rPr>
        <w:b/>
        <w:bCs/>
      </w:rPr>
      <w:tblPr/>
      <w:tcPr>
        <w:tcBorders>
          <w:bottom w:val="single" w:sz="12" w:space="0" w:color="CFDAFF" w:themeColor="accent6" w:themeTint="99"/>
        </w:tcBorders>
      </w:tcPr>
    </w:tblStylePr>
    <w:tblStylePr w:type="lastRow">
      <w:rPr>
        <w:b/>
        <w:bCs/>
      </w:rPr>
      <w:tblPr/>
      <w:tcPr>
        <w:tcBorders>
          <w:top w:val="double" w:sz="4" w:space="0" w:color="CFDAFF" w:themeColor="accent6" w:themeTint="99"/>
        </w:tcBorders>
      </w:tcPr>
    </w:tblStylePr>
    <w:tblStylePr w:type="firstCol">
      <w:rPr>
        <w:b/>
        <w:bCs/>
      </w:rPr>
    </w:tblStylePr>
    <w:tblStylePr w:type="lastCol">
      <w:rPr>
        <w:b/>
        <w:bCs/>
      </w:rPr>
    </w:tblStylePr>
    <w:tblStylePr w:type="band1Vert">
      <w:tblPr/>
      <w:tcPr>
        <w:shd w:val="clear" w:color="auto" w:fill="EFF2FF" w:themeFill="accent6" w:themeFillTint="33"/>
      </w:tcPr>
    </w:tblStylePr>
    <w:tblStylePr w:type="band1Horz">
      <w:tblPr/>
      <w:tcPr>
        <w:shd w:val="clear" w:color="auto" w:fill="EFF2FF" w:themeFill="accent6" w:themeFillTint="33"/>
      </w:tcPr>
    </w:tblStylePr>
  </w:style>
  <w:style w:type="table" w:styleId="GridTable7Colorful">
    <w:name w:val="Grid Table 7 Colorful"/>
    <w:basedOn w:val="TableNormal"/>
    <w:uiPriority w:val="52"/>
    <w:rsid w:val="00BE28F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BE28F6"/>
    <w:pPr>
      <w:spacing w:after="0" w:line="240" w:lineRule="auto"/>
    </w:pPr>
    <w:rPr>
      <w:color w:val="031420" w:themeColor="accent1" w:themeShade="BF"/>
    </w:rPr>
    <w:tblPr>
      <w:tblStyleRowBandSize w:val="1"/>
      <w:tblStyleColBandSize w:val="1"/>
      <w:tblBorders>
        <w:top w:val="single" w:sz="4" w:space="0" w:color="1885D1" w:themeColor="accent1" w:themeTint="99"/>
        <w:left w:val="single" w:sz="4" w:space="0" w:color="1885D1" w:themeColor="accent1" w:themeTint="99"/>
        <w:bottom w:val="single" w:sz="4" w:space="0" w:color="1885D1" w:themeColor="accent1" w:themeTint="99"/>
        <w:right w:val="single" w:sz="4" w:space="0" w:color="1885D1" w:themeColor="accent1" w:themeTint="99"/>
        <w:insideH w:val="single" w:sz="4" w:space="0" w:color="1885D1" w:themeColor="accent1" w:themeTint="99"/>
        <w:insideV w:val="single" w:sz="4" w:space="0" w:color="1885D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7F5" w:themeFill="accent1" w:themeFillTint="33"/>
      </w:tcPr>
    </w:tblStylePr>
    <w:tblStylePr w:type="band1Horz">
      <w:tblPr/>
      <w:tcPr>
        <w:shd w:val="clear" w:color="auto" w:fill="ACD7F5" w:themeFill="accent1" w:themeFillTint="33"/>
      </w:tcPr>
    </w:tblStylePr>
    <w:tblStylePr w:type="neCell">
      <w:tblPr/>
      <w:tcPr>
        <w:tcBorders>
          <w:bottom w:val="single" w:sz="4" w:space="0" w:color="1885D1" w:themeColor="accent1" w:themeTint="99"/>
        </w:tcBorders>
      </w:tcPr>
    </w:tblStylePr>
    <w:tblStylePr w:type="nwCell">
      <w:tblPr/>
      <w:tcPr>
        <w:tcBorders>
          <w:bottom w:val="single" w:sz="4" w:space="0" w:color="1885D1" w:themeColor="accent1" w:themeTint="99"/>
        </w:tcBorders>
      </w:tcPr>
    </w:tblStylePr>
    <w:tblStylePr w:type="seCell">
      <w:tblPr/>
      <w:tcPr>
        <w:tcBorders>
          <w:top w:val="single" w:sz="4" w:space="0" w:color="1885D1" w:themeColor="accent1" w:themeTint="99"/>
        </w:tcBorders>
      </w:tcPr>
    </w:tblStylePr>
    <w:tblStylePr w:type="swCell">
      <w:tblPr/>
      <w:tcPr>
        <w:tcBorders>
          <w:top w:val="single" w:sz="4" w:space="0" w:color="1885D1" w:themeColor="accent1" w:themeTint="99"/>
        </w:tcBorders>
      </w:tcPr>
    </w:tblStylePr>
  </w:style>
  <w:style w:type="table" w:styleId="GridTable7Colorful-Accent2">
    <w:name w:val="Grid Table 7 Colorful Accent 2"/>
    <w:basedOn w:val="TableNormal"/>
    <w:uiPriority w:val="52"/>
    <w:rsid w:val="00BE28F6"/>
    <w:pPr>
      <w:spacing w:after="0" w:line="240" w:lineRule="auto"/>
    </w:pPr>
    <w:rPr>
      <w:color w:val="007EB6" w:themeColor="accent2" w:themeShade="BF"/>
    </w:rPr>
    <w:tblPr>
      <w:tblStyleRowBandSize w:val="1"/>
      <w:tblStyleColBandSize w:val="1"/>
      <w:tblBorders>
        <w:top w:val="single" w:sz="4" w:space="0" w:color="5FCDFF" w:themeColor="accent2" w:themeTint="99"/>
        <w:left w:val="single" w:sz="4" w:space="0" w:color="5FCDFF" w:themeColor="accent2" w:themeTint="99"/>
        <w:bottom w:val="single" w:sz="4" w:space="0" w:color="5FCDFF" w:themeColor="accent2" w:themeTint="99"/>
        <w:right w:val="single" w:sz="4" w:space="0" w:color="5FCDFF" w:themeColor="accent2" w:themeTint="99"/>
        <w:insideH w:val="single" w:sz="4" w:space="0" w:color="5FCDFF" w:themeColor="accent2" w:themeTint="99"/>
        <w:insideV w:val="single" w:sz="4" w:space="0" w:color="5FC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EFF" w:themeFill="accent2" w:themeFillTint="33"/>
      </w:tcPr>
    </w:tblStylePr>
    <w:tblStylePr w:type="band1Horz">
      <w:tblPr/>
      <w:tcPr>
        <w:shd w:val="clear" w:color="auto" w:fill="C9EEFF" w:themeFill="accent2" w:themeFillTint="33"/>
      </w:tcPr>
    </w:tblStylePr>
    <w:tblStylePr w:type="neCell">
      <w:tblPr/>
      <w:tcPr>
        <w:tcBorders>
          <w:bottom w:val="single" w:sz="4" w:space="0" w:color="5FCDFF" w:themeColor="accent2" w:themeTint="99"/>
        </w:tcBorders>
      </w:tcPr>
    </w:tblStylePr>
    <w:tblStylePr w:type="nwCell">
      <w:tblPr/>
      <w:tcPr>
        <w:tcBorders>
          <w:bottom w:val="single" w:sz="4" w:space="0" w:color="5FCDFF" w:themeColor="accent2" w:themeTint="99"/>
        </w:tcBorders>
      </w:tcPr>
    </w:tblStylePr>
    <w:tblStylePr w:type="seCell">
      <w:tblPr/>
      <w:tcPr>
        <w:tcBorders>
          <w:top w:val="single" w:sz="4" w:space="0" w:color="5FCDFF" w:themeColor="accent2" w:themeTint="99"/>
        </w:tcBorders>
      </w:tcPr>
    </w:tblStylePr>
    <w:tblStylePr w:type="swCell">
      <w:tblPr/>
      <w:tcPr>
        <w:tcBorders>
          <w:top w:val="single" w:sz="4" w:space="0" w:color="5FCDFF" w:themeColor="accent2" w:themeTint="99"/>
        </w:tcBorders>
      </w:tcPr>
    </w:tblStylePr>
  </w:style>
  <w:style w:type="table" w:styleId="GridTable7Colorful-Accent3">
    <w:name w:val="Grid Table 7 Colorful Accent 3"/>
    <w:basedOn w:val="TableNormal"/>
    <w:uiPriority w:val="52"/>
    <w:rsid w:val="00BE28F6"/>
    <w:pPr>
      <w:spacing w:after="0" w:line="240" w:lineRule="auto"/>
    </w:pPr>
    <w:rPr>
      <w:color w:val="002DD8" w:themeColor="accent3" w:themeShade="BF"/>
    </w:rPr>
    <w:tblPr>
      <w:tblStyleRowBandSize w:val="1"/>
      <w:tblStyleColBandSize w:val="1"/>
      <w:tblBorders>
        <w:top w:val="single" w:sz="4" w:space="0" w:color="7A96FF" w:themeColor="accent3" w:themeTint="99"/>
        <w:left w:val="single" w:sz="4" w:space="0" w:color="7A96FF" w:themeColor="accent3" w:themeTint="99"/>
        <w:bottom w:val="single" w:sz="4" w:space="0" w:color="7A96FF" w:themeColor="accent3" w:themeTint="99"/>
        <w:right w:val="single" w:sz="4" w:space="0" w:color="7A96FF" w:themeColor="accent3" w:themeTint="99"/>
        <w:insideH w:val="single" w:sz="4" w:space="0" w:color="7A96FF" w:themeColor="accent3" w:themeTint="99"/>
        <w:insideV w:val="single" w:sz="4" w:space="0" w:color="7A96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CFF" w:themeFill="accent3" w:themeFillTint="33"/>
      </w:tcPr>
    </w:tblStylePr>
    <w:tblStylePr w:type="band1Horz">
      <w:tblPr/>
      <w:tcPr>
        <w:shd w:val="clear" w:color="auto" w:fill="D2DCFF" w:themeFill="accent3" w:themeFillTint="33"/>
      </w:tcPr>
    </w:tblStylePr>
    <w:tblStylePr w:type="neCell">
      <w:tblPr/>
      <w:tcPr>
        <w:tcBorders>
          <w:bottom w:val="single" w:sz="4" w:space="0" w:color="7A96FF" w:themeColor="accent3" w:themeTint="99"/>
        </w:tcBorders>
      </w:tcPr>
    </w:tblStylePr>
    <w:tblStylePr w:type="nwCell">
      <w:tblPr/>
      <w:tcPr>
        <w:tcBorders>
          <w:bottom w:val="single" w:sz="4" w:space="0" w:color="7A96FF" w:themeColor="accent3" w:themeTint="99"/>
        </w:tcBorders>
      </w:tcPr>
    </w:tblStylePr>
    <w:tblStylePr w:type="seCell">
      <w:tblPr/>
      <w:tcPr>
        <w:tcBorders>
          <w:top w:val="single" w:sz="4" w:space="0" w:color="7A96FF" w:themeColor="accent3" w:themeTint="99"/>
        </w:tcBorders>
      </w:tcPr>
    </w:tblStylePr>
    <w:tblStylePr w:type="swCell">
      <w:tblPr/>
      <w:tcPr>
        <w:tcBorders>
          <w:top w:val="single" w:sz="4" w:space="0" w:color="7A96FF" w:themeColor="accent3" w:themeTint="99"/>
        </w:tcBorders>
      </w:tcPr>
    </w:tblStylePr>
  </w:style>
  <w:style w:type="table" w:styleId="GridTable7Colorful-Accent4">
    <w:name w:val="Grid Table 7 Colorful Accent 4"/>
    <w:basedOn w:val="TableNormal"/>
    <w:uiPriority w:val="52"/>
    <w:rsid w:val="00BE28F6"/>
    <w:pPr>
      <w:spacing w:after="0" w:line="240" w:lineRule="auto"/>
    </w:pPr>
    <w:rPr>
      <w:color w:val="52CCE0" w:themeColor="accent4" w:themeShade="BF"/>
    </w:rPr>
    <w:tblPr>
      <w:tblStyleRowBandSize w:val="1"/>
      <w:tblStyleColBandSize w:val="1"/>
      <w:tblBorders>
        <w:top w:val="single" w:sz="4" w:space="0" w:color="CCEFF6" w:themeColor="accent4" w:themeTint="99"/>
        <w:left w:val="single" w:sz="4" w:space="0" w:color="CCEFF6" w:themeColor="accent4" w:themeTint="99"/>
        <w:bottom w:val="single" w:sz="4" w:space="0" w:color="CCEFF6" w:themeColor="accent4" w:themeTint="99"/>
        <w:right w:val="single" w:sz="4" w:space="0" w:color="CCEFF6" w:themeColor="accent4" w:themeTint="99"/>
        <w:insideH w:val="single" w:sz="4" w:space="0" w:color="CCEFF6" w:themeColor="accent4" w:themeTint="99"/>
        <w:insideV w:val="single" w:sz="4" w:space="0" w:color="CCEFF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9FC" w:themeFill="accent4" w:themeFillTint="33"/>
      </w:tcPr>
    </w:tblStylePr>
    <w:tblStylePr w:type="band1Horz">
      <w:tblPr/>
      <w:tcPr>
        <w:shd w:val="clear" w:color="auto" w:fill="EEF9FC" w:themeFill="accent4" w:themeFillTint="33"/>
      </w:tcPr>
    </w:tblStylePr>
    <w:tblStylePr w:type="neCell">
      <w:tblPr/>
      <w:tcPr>
        <w:tcBorders>
          <w:bottom w:val="single" w:sz="4" w:space="0" w:color="CCEFF6" w:themeColor="accent4" w:themeTint="99"/>
        </w:tcBorders>
      </w:tcPr>
    </w:tblStylePr>
    <w:tblStylePr w:type="nwCell">
      <w:tblPr/>
      <w:tcPr>
        <w:tcBorders>
          <w:bottom w:val="single" w:sz="4" w:space="0" w:color="CCEFF6" w:themeColor="accent4" w:themeTint="99"/>
        </w:tcBorders>
      </w:tcPr>
    </w:tblStylePr>
    <w:tblStylePr w:type="seCell">
      <w:tblPr/>
      <w:tcPr>
        <w:tcBorders>
          <w:top w:val="single" w:sz="4" w:space="0" w:color="CCEFF6" w:themeColor="accent4" w:themeTint="99"/>
        </w:tcBorders>
      </w:tcPr>
    </w:tblStylePr>
    <w:tblStylePr w:type="swCell">
      <w:tblPr/>
      <w:tcPr>
        <w:tcBorders>
          <w:top w:val="single" w:sz="4" w:space="0" w:color="CCEFF6" w:themeColor="accent4" w:themeTint="99"/>
        </w:tcBorders>
      </w:tcPr>
    </w:tblStylePr>
  </w:style>
  <w:style w:type="table" w:styleId="GridTable7Colorful-Accent5">
    <w:name w:val="Grid Table 7 Colorful Accent 5"/>
    <w:basedOn w:val="TableNormal"/>
    <w:uiPriority w:val="52"/>
    <w:rsid w:val="00BE28F6"/>
    <w:pPr>
      <w:spacing w:after="0" w:line="240" w:lineRule="auto"/>
    </w:pPr>
    <w:rPr>
      <w:color w:val="2D7086" w:themeColor="accent5" w:themeShade="BF"/>
    </w:rPr>
    <w:tblPr>
      <w:tblStyleRowBandSize w:val="1"/>
      <w:tblStyleColBandSize w:val="1"/>
      <w:tblBorders>
        <w:top w:val="single" w:sz="4" w:space="0" w:color="85C2D6" w:themeColor="accent5" w:themeTint="99"/>
        <w:left w:val="single" w:sz="4" w:space="0" w:color="85C2D6" w:themeColor="accent5" w:themeTint="99"/>
        <w:bottom w:val="single" w:sz="4" w:space="0" w:color="85C2D6" w:themeColor="accent5" w:themeTint="99"/>
        <w:right w:val="single" w:sz="4" w:space="0" w:color="85C2D6" w:themeColor="accent5" w:themeTint="99"/>
        <w:insideH w:val="single" w:sz="4" w:space="0" w:color="85C2D6" w:themeColor="accent5" w:themeTint="99"/>
        <w:insideV w:val="single" w:sz="4" w:space="0" w:color="85C2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AF1" w:themeFill="accent5" w:themeFillTint="33"/>
      </w:tcPr>
    </w:tblStylePr>
    <w:tblStylePr w:type="band1Horz">
      <w:tblPr/>
      <w:tcPr>
        <w:shd w:val="clear" w:color="auto" w:fill="D6EAF1" w:themeFill="accent5" w:themeFillTint="33"/>
      </w:tcPr>
    </w:tblStylePr>
    <w:tblStylePr w:type="neCell">
      <w:tblPr/>
      <w:tcPr>
        <w:tcBorders>
          <w:bottom w:val="single" w:sz="4" w:space="0" w:color="85C2D6" w:themeColor="accent5" w:themeTint="99"/>
        </w:tcBorders>
      </w:tcPr>
    </w:tblStylePr>
    <w:tblStylePr w:type="nwCell">
      <w:tblPr/>
      <w:tcPr>
        <w:tcBorders>
          <w:bottom w:val="single" w:sz="4" w:space="0" w:color="85C2D6" w:themeColor="accent5" w:themeTint="99"/>
        </w:tcBorders>
      </w:tcPr>
    </w:tblStylePr>
    <w:tblStylePr w:type="seCell">
      <w:tblPr/>
      <w:tcPr>
        <w:tcBorders>
          <w:top w:val="single" w:sz="4" w:space="0" w:color="85C2D6" w:themeColor="accent5" w:themeTint="99"/>
        </w:tcBorders>
      </w:tcPr>
    </w:tblStylePr>
    <w:tblStylePr w:type="swCell">
      <w:tblPr/>
      <w:tcPr>
        <w:tcBorders>
          <w:top w:val="single" w:sz="4" w:space="0" w:color="85C2D6" w:themeColor="accent5" w:themeTint="99"/>
        </w:tcBorders>
      </w:tcPr>
    </w:tblStylePr>
  </w:style>
  <w:style w:type="table" w:styleId="GridTable7Colorful-Accent6">
    <w:name w:val="Grid Table 7 Colorful Accent 6"/>
    <w:basedOn w:val="TableNormal"/>
    <w:uiPriority w:val="52"/>
    <w:rsid w:val="00BE28F6"/>
    <w:pPr>
      <w:spacing w:after="0" w:line="240" w:lineRule="auto"/>
    </w:pPr>
    <w:rPr>
      <w:color w:val="4371FF" w:themeColor="accent6" w:themeShade="BF"/>
    </w:rPr>
    <w:tblPr>
      <w:tblStyleRowBandSize w:val="1"/>
      <w:tblStyleColBandSize w:val="1"/>
      <w:tblBorders>
        <w:top w:val="single" w:sz="4" w:space="0" w:color="CFDAFF" w:themeColor="accent6" w:themeTint="99"/>
        <w:left w:val="single" w:sz="4" w:space="0" w:color="CFDAFF" w:themeColor="accent6" w:themeTint="99"/>
        <w:bottom w:val="single" w:sz="4" w:space="0" w:color="CFDAFF" w:themeColor="accent6" w:themeTint="99"/>
        <w:right w:val="single" w:sz="4" w:space="0" w:color="CFDAFF" w:themeColor="accent6" w:themeTint="99"/>
        <w:insideH w:val="single" w:sz="4" w:space="0" w:color="CFDAFF" w:themeColor="accent6" w:themeTint="99"/>
        <w:insideV w:val="single" w:sz="4" w:space="0" w:color="CFDA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2FF" w:themeFill="accent6" w:themeFillTint="33"/>
      </w:tcPr>
    </w:tblStylePr>
    <w:tblStylePr w:type="band1Horz">
      <w:tblPr/>
      <w:tcPr>
        <w:shd w:val="clear" w:color="auto" w:fill="EFF2FF" w:themeFill="accent6" w:themeFillTint="33"/>
      </w:tcPr>
    </w:tblStylePr>
    <w:tblStylePr w:type="neCell">
      <w:tblPr/>
      <w:tcPr>
        <w:tcBorders>
          <w:bottom w:val="single" w:sz="4" w:space="0" w:color="CFDAFF" w:themeColor="accent6" w:themeTint="99"/>
        </w:tcBorders>
      </w:tcPr>
    </w:tblStylePr>
    <w:tblStylePr w:type="nwCell">
      <w:tblPr/>
      <w:tcPr>
        <w:tcBorders>
          <w:bottom w:val="single" w:sz="4" w:space="0" w:color="CFDAFF" w:themeColor="accent6" w:themeTint="99"/>
        </w:tcBorders>
      </w:tcPr>
    </w:tblStylePr>
    <w:tblStylePr w:type="seCell">
      <w:tblPr/>
      <w:tcPr>
        <w:tcBorders>
          <w:top w:val="single" w:sz="4" w:space="0" w:color="CFDAFF" w:themeColor="accent6" w:themeTint="99"/>
        </w:tcBorders>
      </w:tcPr>
    </w:tblStylePr>
    <w:tblStylePr w:type="swCell">
      <w:tblPr/>
      <w:tcPr>
        <w:tcBorders>
          <w:top w:val="single" w:sz="4" w:space="0" w:color="CFDAFF" w:themeColor="accent6" w:themeTint="99"/>
        </w:tcBorders>
      </w:tcPr>
    </w:tblStylePr>
  </w:style>
  <w:style w:type="character" w:styleId="Hashtag">
    <w:name w:val="Hashtag"/>
    <w:basedOn w:val="DefaultParagraphFont"/>
    <w:uiPriority w:val="99"/>
    <w:semiHidden/>
    <w:unhideWhenUsed/>
    <w:rsid w:val="00BE28F6"/>
    <w:rPr>
      <w:color w:val="2B579A"/>
      <w:shd w:val="clear" w:color="auto" w:fill="E1DFDD"/>
    </w:rPr>
  </w:style>
  <w:style w:type="character" w:styleId="HTMLAcronym">
    <w:name w:val="HTML Acronym"/>
    <w:basedOn w:val="DefaultParagraphFont"/>
    <w:uiPriority w:val="99"/>
    <w:semiHidden/>
    <w:unhideWhenUsed/>
    <w:rsid w:val="00BE28F6"/>
  </w:style>
  <w:style w:type="paragraph" w:styleId="HTMLAddress">
    <w:name w:val="HTML Address"/>
    <w:basedOn w:val="Normal"/>
    <w:link w:val="HTMLAddressChar"/>
    <w:uiPriority w:val="99"/>
    <w:semiHidden/>
    <w:unhideWhenUsed/>
    <w:rsid w:val="00BE28F6"/>
    <w:pPr>
      <w:spacing w:after="0" w:line="240" w:lineRule="auto"/>
    </w:pPr>
    <w:rPr>
      <w:i/>
      <w:iCs/>
    </w:rPr>
  </w:style>
  <w:style w:type="character" w:customStyle="1" w:styleId="HTMLAddressChar">
    <w:name w:val="HTML Address Char"/>
    <w:basedOn w:val="DefaultParagraphFont"/>
    <w:link w:val="HTMLAddress"/>
    <w:uiPriority w:val="99"/>
    <w:semiHidden/>
    <w:rsid w:val="00BE28F6"/>
    <w:rPr>
      <w:rFonts w:eastAsia="Times New Roman" w:cs="Times New Roman"/>
      <w:i/>
      <w:iCs/>
      <w:szCs w:val="20"/>
      <w:lang w:val="en-US"/>
    </w:rPr>
  </w:style>
  <w:style w:type="character" w:styleId="HTMLCite">
    <w:name w:val="HTML Cite"/>
    <w:basedOn w:val="DefaultParagraphFont"/>
    <w:uiPriority w:val="99"/>
    <w:semiHidden/>
    <w:unhideWhenUsed/>
    <w:rsid w:val="00BE28F6"/>
    <w:rPr>
      <w:i/>
      <w:iCs/>
    </w:rPr>
  </w:style>
  <w:style w:type="character" w:styleId="HTMLCode">
    <w:name w:val="HTML Code"/>
    <w:basedOn w:val="DefaultParagraphFont"/>
    <w:uiPriority w:val="99"/>
    <w:semiHidden/>
    <w:unhideWhenUsed/>
    <w:rsid w:val="00BE28F6"/>
    <w:rPr>
      <w:rFonts w:ascii="Consolas" w:hAnsi="Consolas"/>
      <w:sz w:val="20"/>
      <w:szCs w:val="20"/>
    </w:rPr>
  </w:style>
  <w:style w:type="character" w:styleId="HTMLDefinition">
    <w:name w:val="HTML Definition"/>
    <w:basedOn w:val="DefaultParagraphFont"/>
    <w:uiPriority w:val="99"/>
    <w:semiHidden/>
    <w:unhideWhenUsed/>
    <w:rsid w:val="00BE28F6"/>
    <w:rPr>
      <w:i/>
      <w:iCs/>
    </w:rPr>
  </w:style>
  <w:style w:type="character" w:styleId="HTMLKeyboard">
    <w:name w:val="HTML Keyboard"/>
    <w:basedOn w:val="DefaultParagraphFont"/>
    <w:uiPriority w:val="99"/>
    <w:semiHidden/>
    <w:unhideWhenUsed/>
    <w:rsid w:val="00BE28F6"/>
    <w:rPr>
      <w:rFonts w:ascii="Consolas" w:hAnsi="Consolas"/>
      <w:sz w:val="20"/>
      <w:szCs w:val="20"/>
    </w:rPr>
  </w:style>
  <w:style w:type="paragraph" w:styleId="HTMLPreformatted">
    <w:name w:val="HTML Preformatted"/>
    <w:basedOn w:val="Normal"/>
    <w:link w:val="HTMLPreformattedChar"/>
    <w:uiPriority w:val="99"/>
    <w:semiHidden/>
    <w:unhideWhenUsed/>
    <w:rsid w:val="00BE28F6"/>
    <w:pPr>
      <w:spacing w:after="0"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BE28F6"/>
    <w:rPr>
      <w:rFonts w:ascii="Consolas" w:eastAsia="Times New Roman" w:hAnsi="Consolas" w:cs="Times New Roman"/>
      <w:sz w:val="20"/>
      <w:szCs w:val="20"/>
      <w:lang w:val="en-US"/>
    </w:rPr>
  </w:style>
  <w:style w:type="character" w:styleId="HTMLSample">
    <w:name w:val="HTML Sample"/>
    <w:basedOn w:val="DefaultParagraphFont"/>
    <w:uiPriority w:val="99"/>
    <w:semiHidden/>
    <w:unhideWhenUsed/>
    <w:rsid w:val="00BE28F6"/>
    <w:rPr>
      <w:rFonts w:ascii="Consolas" w:hAnsi="Consolas"/>
      <w:sz w:val="24"/>
      <w:szCs w:val="24"/>
    </w:rPr>
  </w:style>
  <w:style w:type="character" w:styleId="HTMLTypewriter">
    <w:name w:val="HTML Typewriter"/>
    <w:basedOn w:val="DefaultParagraphFont"/>
    <w:uiPriority w:val="99"/>
    <w:semiHidden/>
    <w:unhideWhenUsed/>
    <w:rsid w:val="00BE28F6"/>
    <w:rPr>
      <w:rFonts w:ascii="Consolas" w:hAnsi="Consolas"/>
      <w:sz w:val="20"/>
      <w:szCs w:val="20"/>
    </w:rPr>
  </w:style>
  <w:style w:type="character" w:styleId="HTMLVariable">
    <w:name w:val="HTML Variable"/>
    <w:basedOn w:val="DefaultParagraphFont"/>
    <w:uiPriority w:val="99"/>
    <w:semiHidden/>
    <w:unhideWhenUsed/>
    <w:rsid w:val="00BE28F6"/>
    <w:rPr>
      <w:i/>
      <w:iCs/>
    </w:rPr>
  </w:style>
  <w:style w:type="paragraph" w:styleId="Index2">
    <w:name w:val="index 2"/>
    <w:basedOn w:val="Normal"/>
    <w:next w:val="Normal"/>
    <w:autoRedefine/>
    <w:uiPriority w:val="99"/>
    <w:semiHidden/>
    <w:unhideWhenUsed/>
    <w:rsid w:val="00BE28F6"/>
    <w:pPr>
      <w:spacing w:after="0" w:line="240" w:lineRule="auto"/>
      <w:ind w:left="440" w:hanging="220"/>
    </w:pPr>
  </w:style>
  <w:style w:type="paragraph" w:styleId="Index3">
    <w:name w:val="index 3"/>
    <w:basedOn w:val="Normal"/>
    <w:next w:val="Normal"/>
    <w:autoRedefine/>
    <w:uiPriority w:val="99"/>
    <w:semiHidden/>
    <w:unhideWhenUsed/>
    <w:rsid w:val="00BE28F6"/>
    <w:pPr>
      <w:spacing w:after="0" w:line="240" w:lineRule="auto"/>
      <w:ind w:left="660" w:hanging="220"/>
    </w:pPr>
  </w:style>
  <w:style w:type="paragraph" w:styleId="Index4">
    <w:name w:val="index 4"/>
    <w:basedOn w:val="Normal"/>
    <w:next w:val="Normal"/>
    <w:autoRedefine/>
    <w:uiPriority w:val="99"/>
    <w:semiHidden/>
    <w:unhideWhenUsed/>
    <w:rsid w:val="00BE28F6"/>
    <w:pPr>
      <w:spacing w:after="0" w:line="240" w:lineRule="auto"/>
      <w:ind w:left="880" w:hanging="220"/>
    </w:pPr>
  </w:style>
  <w:style w:type="paragraph" w:styleId="Index5">
    <w:name w:val="index 5"/>
    <w:basedOn w:val="Normal"/>
    <w:next w:val="Normal"/>
    <w:autoRedefine/>
    <w:uiPriority w:val="99"/>
    <w:semiHidden/>
    <w:unhideWhenUsed/>
    <w:rsid w:val="00BE28F6"/>
    <w:pPr>
      <w:spacing w:after="0" w:line="240" w:lineRule="auto"/>
      <w:ind w:left="1100" w:hanging="220"/>
    </w:pPr>
  </w:style>
  <w:style w:type="paragraph" w:styleId="Index6">
    <w:name w:val="index 6"/>
    <w:basedOn w:val="Normal"/>
    <w:next w:val="Normal"/>
    <w:autoRedefine/>
    <w:uiPriority w:val="99"/>
    <w:semiHidden/>
    <w:unhideWhenUsed/>
    <w:rsid w:val="00BE28F6"/>
    <w:pPr>
      <w:spacing w:after="0" w:line="240" w:lineRule="auto"/>
      <w:ind w:left="1320" w:hanging="220"/>
    </w:pPr>
  </w:style>
  <w:style w:type="paragraph" w:styleId="Index7">
    <w:name w:val="index 7"/>
    <w:basedOn w:val="Normal"/>
    <w:next w:val="Normal"/>
    <w:autoRedefine/>
    <w:uiPriority w:val="99"/>
    <w:semiHidden/>
    <w:unhideWhenUsed/>
    <w:rsid w:val="00BE28F6"/>
    <w:pPr>
      <w:spacing w:after="0" w:line="240" w:lineRule="auto"/>
      <w:ind w:left="1540" w:hanging="220"/>
    </w:pPr>
  </w:style>
  <w:style w:type="paragraph" w:styleId="Index8">
    <w:name w:val="index 8"/>
    <w:basedOn w:val="Normal"/>
    <w:next w:val="Normal"/>
    <w:autoRedefine/>
    <w:uiPriority w:val="99"/>
    <w:semiHidden/>
    <w:unhideWhenUsed/>
    <w:rsid w:val="00BE28F6"/>
    <w:pPr>
      <w:spacing w:after="0" w:line="240" w:lineRule="auto"/>
      <w:ind w:left="1760" w:hanging="220"/>
    </w:pPr>
  </w:style>
  <w:style w:type="paragraph" w:styleId="Index9">
    <w:name w:val="index 9"/>
    <w:basedOn w:val="Normal"/>
    <w:next w:val="Normal"/>
    <w:autoRedefine/>
    <w:uiPriority w:val="99"/>
    <w:semiHidden/>
    <w:unhideWhenUsed/>
    <w:rsid w:val="00BE28F6"/>
    <w:pPr>
      <w:spacing w:after="0" w:line="240" w:lineRule="auto"/>
      <w:ind w:left="1980" w:hanging="220"/>
    </w:pPr>
  </w:style>
  <w:style w:type="character" w:styleId="IntenseEmphasis">
    <w:name w:val="Intense Emphasis"/>
    <w:basedOn w:val="DefaultParagraphFont"/>
    <w:uiPriority w:val="21"/>
    <w:rsid w:val="00BE28F6"/>
    <w:rPr>
      <w:i/>
      <w:iCs/>
      <w:color w:val="051C2C" w:themeColor="accent1"/>
    </w:rPr>
  </w:style>
  <w:style w:type="paragraph" w:styleId="IntenseQuote">
    <w:name w:val="Intense Quote"/>
    <w:basedOn w:val="Normal"/>
    <w:next w:val="Normal"/>
    <w:link w:val="IntenseQuoteChar"/>
    <w:uiPriority w:val="30"/>
    <w:rsid w:val="00BE28F6"/>
    <w:pPr>
      <w:pBdr>
        <w:top w:val="single" w:sz="4" w:space="10" w:color="051C2C" w:themeColor="accent1"/>
        <w:bottom w:val="single" w:sz="4" w:space="10" w:color="051C2C" w:themeColor="accent1"/>
      </w:pBdr>
      <w:spacing w:before="360" w:after="360"/>
      <w:ind w:left="864" w:right="864"/>
      <w:jc w:val="center"/>
    </w:pPr>
    <w:rPr>
      <w:i/>
      <w:iCs/>
      <w:color w:val="051C2C" w:themeColor="accent1"/>
    </w:rPr>
  </w:style>
  <w:style w:type="character" w:customStyle="1" w:styleId="IntenseQuoteChar">
    <w:name w:val="Intense Quote Char"/>
    <w:basedOn w:val="DefaultParagraphFont"/>
    <w:link w:val="IntenseQuote"/>
    <w:uiPriority w:val="30"/>
    <w:rsid w:val="00BE28F6"/>
    <w:rPr>
      <w:rFonts w:eastAsia="Times New Roman" w:cs="Times New Roman"/>
      <w:i/>
      <w:iCs/>
      <w:color w:val="051C2C" w:themeColor="accent1"/>
      <w:szCs w:val="20"/>
      <w:lang w:val="en-US"/>
    </w:rPr>
  </w:style>
  <w:style w:type="table" w:styleId="LightGrid">
    <w:name w:val="Light Grid"/>
    <w:basedOn w:val="TableNormal"/>
    <w:uiPriority w:val="62"/>
    <w:semiHidden/>
    <w:unhideWhenUsed/>
    <w:rsid w:val="00BE28F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BE28F6"/>
    <w:pPr>
      <w:spacing w:after="0" w:line="240" w:lineRule="auto"/>
    </w:pPr>
    <w:tblPr>
      <w:tblStyleRowBandSize w:val="1"/>
      <w:tblStyleColBandSize w:val="1"/>
      <w:tblBorders>
        <w:top w:val="single" w:sz="8" w:space="0" w:color="051C2C" w:themeColor="accent1"/>
        <w:left w:val="single" w:sz="8" w:space="0" w:color="051C2C" w:themeColor="accent1"/>
        <w:bottom w:val="single" w:sz="8" w:space="0" w:color="051C2C" w:themeColor="accent1"/>
        <w:right w:val="single" w:sz="8" w:space="0" w:color="051C2C" w:themeColor="accent1"/>
        <w:insideH w:val="single" w:sz="8" w:space="0" w:color="051C2C" w:themeColor="accent1"/>
        <w:insideV w:val="single" w:sz="8" w:space="0" w:color="051C2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1C2C" w:themeColor="accent1"/>
          <w:left w:val="single" w:sz="8" w:space="0" w:color="051C2C" w:themeColor="accent1"/>
          <w:bottom w:val="single" w:sz="18" w:space="0" w:color="051C2C" w:themeColor="accent1"/>
          <w:right w:val="single" w:sz="8" w:space="0" w:color="051C2C" w:themeColor="accent1"/>
          <w:insideH w:val="nil"/>
          <w:insideV w:val="single" w:sz="8" w:space="0" w:color="051C2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1C2C" w:themeColor="accent1"/>
          <w:left w:val="single" w:sz="8" w:space="0" w:color="051C2C" w:themeColor="accent1"/>
          <w:bottom w:val="single" w:sz="8" w:space="0" w:color="051C2C" w:themeColor="accent1"/>
          <w:right w:val="single" w:sz="8" w:space="0" w:color="051C2C" w:themeColor="accent1"/>
          <w:insideH w:val="nil"/>
          <w:insideV w:val="single" w:sz="8" w:space="0" w:color="051C2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1C2C" w:themeColor="accent1"/>
          <w:left w:val="single" w:sz="8" w:space="0" w:color="051C2C" w:themeColor="accent1"/>
          <w:bottom w:val="single" w:sz="8" w:space="0" w:color="051C2C" w:themeColor="accent1"/>
          <w:right w:val="single" w:sz="8" w:space="0" w:color="051C2C" w:themeColor="accent1"/>
        </w:tcBorders>
      </w:tcPr>
    </w:tblStylePr>
    <w:tblStylePr w:type="band1Vert">
      <w:tblPr/>
      <w:tcPr>
        <w:tcBorders>
          <w:top w:val="single" w:sz="8" w:space="0" w:color="051C2C" w:themeColor="accent1"/>
          <w:left w:val="single" w:sz="8" w:space="0" w:color="051C2C" w:themeColor="accent1"/>
          <w:bottom w:val="single" w:sz="8" w:space="0" w:color="051C2C" w:themeColor="accent1"/>
          <w:right w:val="single" w:sz="8" w:space="0" w:color="051C2C" w:themeColor="accent1"/>
        </w:tcBorders>
        <w:shd w:val="clear" w:color="auto" w:fill="98CEF3" w:themeFill="accent1" w:themeFillTint="3F"/>
      </w:tcPr>
    </w:tblStylePr>
    <w:tblStylePr w:type="band1Horz">
      <w:tblPr/>
      <w:tcPr>
        <w:tcBorders>
          <w:top w:val="single" w:sz="8" w:space="0" w:color="051C2C" w:themeColor="accent1"/>
          <w:left w:val="single" w:sz="8" w:space="0" w:color="051C2C" w:themeColor="accent1"/>
          <w:bottom w:val="single" w:sz="8" w:space="0" w:color="051C2C" w:themeColor="accent1"/>
          <w:right w:val="single" w:sz="8" w:space="0" w:color="051C2C" w:themeColor="accent1"/>
          <w:insideV w:val="single" w:sz="8" w:space="0" w:color="051C2C" w:themeColor="accent1"/>
        </w:tcBorders>
        <w:shd w:val="clear" w:color="auto" w:fill="98CEF3" w:themeFill="accent1" w:themeFillTint="3F"/>
      </w:tcPr>
    </w:tblStylePr>
    <w:tblStylePr w:type="band2Horz">
      <w:tblPr/>
      <w:tcPr>
        <w:tcBorders>
          <w:top w:val="single" w:sz="8" w:space="0" w:color="051C2C" w:themeColor="accent1"/>
          <w:left w:val="single" w:sz="8" w:space="0" w:color="051C2C" w:themeColor="accent1"/>
          <w:bottom w:val="single" w:sz="8" w:space="0" w:color="051C2C" w:themeColor="accent1"/>
          <w:right w:val="single" w:sz="8" w:space="0" w:color="051C2C" w:themeColor="accent1"/>
          <w:insideV w:val="single" w:sz="8" w:space="0" w:color="051C2C" w:themeColor="accent1"/>
        </w:tcBorders>
      </w:tcPr>
    </w:tblStylePr>
  </w:style>
  <w:style w:type="table" w:styleId="LightGrid-Accent2">
    <w:name w:val="Light Grid Accent 2"/>
    <w:basedOn w:val="TableNormal"/>
    <w:uiPriority w:val="62"/>
    <w:semiHidden/>
    <w:unhideWhenUsed/>
    <w:rsid w:val="00BE28F6"/>
    <w:pPr>
      <w:spacing w:after="0" w:line="240" w:lineRule="auto"/>
    </w:pPr>
    <w:tblPr>
      <w:tblStyleRowBandSize w:val="1"/>
      <w:tblStyleColBandSize w:val="1"/>
      <w:tblBorders>
        <w:top w:val="single" w:sz="8" w:space="0" w:color="00A9F4" w:themeColor="accent2"/>
        <w:left w:val="single" w:sz="8" w:space="0" w:color="00A9F4" w:themeColor="accent2"/>
        <w:bottom w:val="single" w:sz="8" w:space="0" w:color="00A9F4" w:themeColor="accent2"/>
        <w:right w:val="single" w:sz="8" w:space="0" w:color="00A9F4" w:themeColor="accent2"/>
        <w:insideH w:val="single" w:sz="8" w:space="0" w:color="00A9F4" w:themeColor="accent2"/>
        <w:insideV w:val="single" w:sz="8" w:space="0" w:color="00A9F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9F4" w:themeColor="accent2"/>
          <w:left w:val="single" w:sz="8" w:space="0" w:color="00A9F4" w:themeColor="accent2"/>
          <w:bottom w:val="single" w:sz="18" w:space="0" w:color="00A9F4" w:themeColor="accent2"/>
          <w:right w:val="single" w:sz="8" w:space="0" w:color="00A9F4" w:themeColor="accent2"/>
          <w:insideH w:val="nil"/>
          <w:insideV w:val="single" w:sz="8" w:space="0" w:color="00A9F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9F4" w:themeColor="accent2"/>
          <w:left w:val="single" w:sz="8" w:space="0" w:color="00A9F4" w:themeColor="accent2"/>
          <w:bottom w:val="single" w:sz="8" w:space="0" w:color="00A9F4" w:themeColor="accent2"/>
          <w:right w:val="single" w:sz="8" w:space="0" w:color="00A9F4" w:themeColor="accent2"/>
          <w:insideH w:val="nil"/>
          <w:insideV w:val="single" w:sz="8" w:space="0" w:color="00A9F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9F4" w:themeColor="accent2"/>
          <w:left w:val="single" w:sz="8" w:space="0" w:color="00A9F4" w:themeColor="accent2"/>
          <w:bottom w:val="single" w:sz="8" w:space="0" w:color="00A9F4" w:themeColor="accent2"/>
          <w:right w:val="single" w:sz="8" w:space="0" w:color="00A9F4" w:themeColor="accent2"/>
        </w:tcBorders>
      </w:tcPr>
    </w:tblStylePr>
    <w:tblStylePr w:type="band1Vert">
      <w:tblPr/>
      <w:tcPr>
        <w:tcBorders>
          <w:top w:val="single" w:sz="8" w:space="0" w:color="00A9F4" w:themeColor="accent2"/>
          <w:left w:val="single" w:sz="8" w:space="0" w:color="00A9F4" w:themeColor="accent2"/>
          <w:bottom w:val="single" w:sz="8" w:space="0" w:color="00A9F4" w:themeColor="accent2"/>
          <w:right w:val="single" w:sz="8" w:space="0" w:color="00A9F4" w:themeColor="accent2"/>
        </w:tcBorders>
        <w:shd w:val="clear" w:color="auto" w:fill="BDEAFF" w:themeFill="accent2" w:themeFillTint="3F"/>
      </w:tcPr>
    </w:tblStylePr>
    <w:tblStylePr w:type="band1Horz">
      <w:tblPr/>
      <w:tcPr>
        <w:tcBorders>
          <w:top w:val="single" w:sz="8" w:space="0" w:color="00A9F4" w:themeColor="accent2"/>
          <w:left w:val="single" w:sz="8" w:space="0" w:color="00A9F4" w:themeColor="accent2"/>
          <w:bottom w:val="single" w:sz="8" w:space="0" w:color="00A9F4" w:themeColor="accent2"/>
          <w:right w:val="single" w:sz="8" w:space="0" w:color="00A9F4" w:themeColor="accent2"/>
          <w:insideV w:val="single" w:sz="8" w:space="0" w:color="00A9F4" w:themeColor="accent2"/>
        </w:tcBorders>
        <w:shd w:val="clear" w:color="auto" w:fill="BDEAFF" w:themeFill="accent2" w:themeFillTint="3F"/>
      </w:tcPr>
    </w:tblStylePr>
    <w:tblStylePr w:type="band2Horz">
      <w:tblPr/>
      <w:tcPr>
        <w:tcBorders>
          <w:top w:val="single" w:sz="8" w:space="0" w:color="00A9F4" w:themeColor="accent2"/>
          <w:left w:val="single" w:sz="8" w:space="0" w:color="00A9F4" w:themeColor="accent2"/>
          <w:bottom w:val="single" w:sz="8" w:space="0" w:color="00A9F4" w:themeColor="accent2"/>
          <w:right w:val="single" w:sz="8" w:space="0" w:color="00A9F4" w:themeColor="accent2"/>
          <w:insideV w:val="single" w:sz="8" w:space="0" w:color="00A9F4" w:themeColor="accent2"/>
        </w:tcBorders>
      </w:tcPr>
    </w:tblStylePr>
  </w:style>
  <w:style w:type="table" w:styleId="LightGrid-Accent3">
    <w:name w:val="Light Grid Accent 3"/>
    <w:basedOn w:val="TableNormal"/>
    <w:uiPriority w:val="62"/>
    <w:semiHidden/>
    <w:unhideWhenUsed/>
    <w:rsid w:val="00BE28F6"/>
    <w:pPr>
      <w:spacing w:after="0" w:line="240" w:lineRule="auto"/>
    </w:pPr>
    <w:tblPr>
      <w:tblStyleRowBandSize w:val="1"/>
      <w:tblStyleColBandSize w:val="1"/>
      <w:tblBorders>
        <w:top w:val="single" w:sz="8" w:space="0" w:color="2251FF" w:themeColor="accent3"/>
        <w:left w:val="single" w:sz="8" w:space="0" w:color="2251FF" w:themeColor="accent3"/>
        <w:bottom w:val="single" w:sz="8" w:space="0" w:color="2251FF" w:themeColor="accent3"/>
        <w:right w:val="single" w:sz="8" w:space="0" w:color="2251FF" w:themeColor="accent3"/>
        <w:insideH w:val="single" w:sz="8" w:space="0" w:color="2251FF" w:themeColor="accent3"/>
        <w:insideV w:val="single" w:sz="8" w:space="0" w:color="2251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251FF" w:themeColor="accent3"/>
          <w:left w:val="single" w:sz="8" w:space="0" w:color="2251FF" w:themeColor="accent3"/>
          <w:bottom w:val="single" w:sz="18" w:space="0" w:color="2251FF" w:themeColor="accent3"/>
          <w:right w:val="single" w:sz="8" w:space="0" w:color="2251FF" w:themeColor="accent3"/>
          <w:insideH w:val="nil"/>
          <w:insideV w:val="single" w:sz="8" w:space="0" w:color="2251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251FF" w:themeColor="accent3"/>
          <w:left w:val="single" w:sz="8" w:space="0" w:color="2251FF" w:themeColor="accent3"/>
          <w:bottom w:val="single" w:sz="8" w:space="0" w:color="2251FF" w:themeColor="accent3"/>
          <w:right w:val="single" w:sz="8" w:space="0" w:color="2251FF" w:themeColor="accent3"/>
          <w:insideH w:val="nil"/>
          <w:insideV w:val="single" w:sz="8" w:space="0" w:color="2251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251FF" w:themeColor="accent3"/>
          <w:left w:val="single" w:sz="8" w:space="0" w:color="2251FF" w:themeColor="accent3"/>
          <w:bottom w:val="single" w:sz="8" w:space="0" w:color="2251FF" w:themeColor="accent3"/>
          <w:right w:val="single" w:sz="8" w:space="0" w:color="2251FF" w:themeColor="accent3"/>
        </w:tcBorders>
      </w:tcPr>
    </w:tblStylePr>
    <w:tblStylePr w:type="band1Vert">
      <w:tblPr/>
      <w:tcPr>
        <w:tcBorders>
          <w:top w:val="single" w:sz="8" w:space="0" w:color="2251FF" w:themeColor="accent3"/>
          <w:left w:val="single" w:sz="8" w:space="0" w:color="2251FF" w:themeColor="accent3"/>
          <w:bottom w:val="single" w:sz="8" w:space="0" w:color="2251FF" w:themeColor="accent3"/>
          <w:right w:val="single" w:sz="8" w:space="0" w:color="2251FF" w:themeColor="accent3"/>
        </w:tcBorders>
        <w:shd w:val="clear" w:color="auto" w:fill="C8D3FF" w:themeFill="accent3" w:themeFillTint="3F"/>
      </w:tcPr>
    </w:tblStylePr>
    <w:tblStylePr w:type="band1Horz">
      <w:tblPr/>
      <w:tcPr>
        <w:tcBorders>
          <w:top w:val="single" w:sz="8" w:space="0" w:color="2251FF" w:themeColor="accent3"/>
          <w:left w:val="single" w:sz="8" w:space="0" w:color="2251FF" w:themeColor="accent3"/>
          <w:bottom w:val="single" w:sz="8" w:space="0" w:color="2251FF" w:themeColor="accent3"/>
          <w:right w:val="single" w:sz="8" w:space="0" w:color="2251FF" w:themeColor="accent3"/>
          <w:insideV w:val="single" w:sz="8" w:space="0" w:color="2251FF" w:themeColor="accent3"/>
        </w:tcBorders>
        <w:shd w:val="clear" w:color="auto" w:fill="C8D3FF" w:themeFill="accent3" w:themeFillTint="3F"/>
      </w:tcPr>
    </w:tblStylePr>
    <w:tblStylePr w:type="band2Horz">
      <w:tblPr/>
      <w:tcPr>
        <w:tcBorders>
          <w:top w:val="single" w:sz="8" w:space="0" w:color="2251FF" w:themeColor="accent3"/>
          <w:left w:val="single" w:sz="8" w:space="0" w:color="2251FF" w:themeColor="accent3"/>
          <w:bottom w:val="single" w:sz="8" w:space="0" w:color="2251FF" w:themeColor="accent3"/>
          <w:right w:val="single" w:sz="8" w:space="0" w:color="2251FF" w:themeColor="accent3"/>
          <w:insideV w:val="single" w:sz="8" w:space="0" w:color="2251FF" w:themeColor="accent3"/>
        </w:tcBorders>
      </w:tcPr>
    </w:tblStylePr>
  </w:style>
  <w:style w:type="table" w:styleId="LightGrid-Accent4">
    <w:name w:val="Light Grid Accent 4"/>
    <w:basedOn w:val="TableNormal"/>
    <w:uiPriority w:val="62"/>
    <w:semiHidden/>
    <w:unhideWhenUsed/>
    <w:rsid w:val="00BE28F6"/>
    <w:pPr>
      <w:spacing w:after="0" w:line="240" w:lineRule="auto"/>
    </w:pPr>
    <w:tblPr>
      <w:tblStyleRowBandSize w:val="1"/>
      <w:tblStyleColBandSize w:val="1"/>
      <w:tblBorders>
        <w:top w:val="single" w:sz="8" w:space="0" w:color="AAE6F0" w:themeColor="accent4"/>
        <w:left w:val="single" w:sz="8" w:space="0" w:color="AAE6F0" w:themeColor="accent4"/>
        <w:bottom w:val="single" w:sz="8" w:space="0" w:color="AAE6F0" w:themeColor="accent4"/>
        <w:right w:val="single" w:sz="8" w:space="0" w:color="AAE6F0" w:themeColor="accent4"/>
        <w:insideH w:val="single" w:sz="8" w:space="0" w:color="AAE6F0" w:themeColor="accent4"/>
        <w:insideV w:val="single" w:sz="8" w:space="0" w:color="AAE6F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E6F0" w:themeColor="accent4"/>
          <w:left w:val="single" w:sz="8" w:space="0" w:color="AAE6F0" w:themeColor="accent4"/>
          <w:bottom w:val="single" w:sz="18" w:space="0" w:color="AAE6F0" w:themeColor="accent4"/>
          <w:right w:val="single" w:sz="8" w:space="0" w:color="AAE6F0" w:themeColor="accent4"/>
          <w:insideH w:val="nil"/>
          <w:insideV w:val="single" w:sz="8" w:space="0" w:color="AAE6F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E6F0" w:themeColor="accent4"/>
          <w:left w:val="single" w:sz="8" w:space="0" w:color="AAE6F0" w:themeColor="accent4"/>
          <w:bottom w:val="single" w:sz="8" w:space="0" w:color="AAE6F0" w:themeColor="accent4"/>
          <w:right w:val="single" w:sz="8" w:space="0" w:color="AAE6F0" w:themeColor="accent4"/>
          <w:insideH w:val="nil"/>
          <w:insideV w:val="single" w:sz="8" w:space="0" w:color="AAE6F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E6F0" w:themeColor="accent4"/>
          <w:left w:val="single" w:sz="8" w:space="0" w:color="AAE6F0" w:themeColor="accent4"/>
          <w:bottom w:val="single" w:sz="8" w:space="0" w:color="AAE6F0" w:themeColor="accent4"/>
          <w:right w:val="single" w:sz="8" w:space="0" w:color="AAE6F0" w:themeColor="accent4"/>
        </w:tcBorders>
      </w:tcPr>
    </w:tblStylePr>
    <w:tblStylePr w:type="band1Vert">
      <w:tblPr/>
      <w:tcPr>
        <w:tcBorders>
          <w:top w:val="single" w:sz="8" w:space="0" w:color="AAE6F0" w:themeColor="accent4"/>
          <w:left w:val="single" w:sz="8" w:space="0" w:color="AAE6F0" w:themeColor="accent4"/>
          <w:bottom w:val="single" w:sz="8" w:space="0" w:color="AAE6F0" w:themeColor="accent4"/>
          <w:right w:val="single" w:sz="8" w:space="0" w:color="AAE6F0" w:themeColor="accent4"/>
        </w:tcBorders>
        <w:shd w:val="clear" w:color="auto" w:fill="E9F8FB" w:themeFill="accent4" w:themeFillTint="3F"/>
      </w:tcPr>
    </w:tblStylePr>
    <w:tblStylePr w:type="band1Horz">
      <w:tblPr/>
      <w:tcPr>
        <w:tcBorders>
          <w:top w:val="single" w:sz="8" w:space="0" w:color="AAE6F0" w:themeColor="accent4"/>
          <w:left w:val="single" w:sz="8" w:space="0" w:color="AAE6F0" w:themeColor="accent4"/>
          <w:bottom w:val="single" w:sz="8" w:space="0" w:color="AAE6F0" w:themeColor="accent4"/>
          <w:right w:val="single" w:sz="8" w:space="0" w:color="AAE6F0" w:themeColor="accent4"/>
          <w:insideV w:val="single" w:sz="8" w:space="0" w:color="AAE6F0" w:themeColor="accent4"/>
        </w:tcBorders>
        <w:shd w:val="clear" w:color="auto" w:fill="E9F8FB" w:themeFill="accent4" w:themeFillTint="3F"/>
      </w:tcPr>
    </w:tblStylePr>
    <w:tblStylePr w:type="band2Horz">
      <w:tblPr/>
      <w:tcPr>
        <w:tcBorders>
          <w:top w:val="single" w:sz="8" w:space="0" w:color="AAE6F0" w:themeColor="accent4"/>
          <w:left w:val="single" w:sz="8" w:space="0" w:color="AAE6F0" w:themeColor="accent4"/>
          <w:bottom w:val="single" w:sz="8" w:space="0" w:color="AAE6F0" w:themeColor="accent4"/>
          <w:right w:val="single" w:sz="8" w:space="0" w:color="AAE6F0" w:themeColor="accent4"/>
          <w:insideV w:val="single" w:sz="8" w:space="0" w:color="AAE6F0" w:themeColor="accent4"/>
        </w:tcBorders>
      </w:tcPr>
    </w:tblStylePr>
  </w:style>
  <w:style w:type="table" w:styleId="LightGrid-Accent5">
    <w:name w:val="Light Grid Accent 5"/>
    <w:basedOn w:val="TableNormal"/>
    <w:uiPriority w:val="62"/>
    <w:semiHidden/>
    <w:unhideWhenUsed/>
    <w:rsid w:val="00BE28F6"/>
    <w:pPr>
      <w:spacing w:after="0" w:line="240" w:lineRule="auto"/>
    </w:pPr>
    <w:tblPr>
      <w:tblStyleRowBandSize w:val="1"/>
      <w:tblStyleColBandSize w:val="1"/>
      <w:tblBorders>
        <w:top w:val="single" w:sz="8" w:space="0" w:color="3C96B4" w:themeColor="accent5"/>
        <w:left w:val="single" w:sz="8" w:space="0" w:color="3C96B4" w:themeColor="accent5"/>
        <w:bottom w:val="single" w:sz="8" w:space="0" w:color="3C96B4" w:themeColor="accent5"/>
        <w:right w:val="single" w:sz="8" w:space="0" w:color="3C96B4" w:themeColor="accent5"/>
        <w:insideH w:val="single" w:sz="8" w:space="0" w:color="3C96B4" w:themeColor="accent5"/>
        <w:insideV w:val="single" w:sz="8" w:space="0" w:color="3C96B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96B4" w:themeColor="accent5"/>
          <w:left w:val="single" w:sz="8" w:space="0" w:color="3C96B4" w:themeColor="accent5"/>
          <w:bottom w:val="single" w:sz="18" w:space="0" w:color="3C96B4" w:themeColor="accent5"/>
          <w:right w:val="single" w:sz="8" w:space="0" w:color="3C96B4" w:themeColor="accent5"/>
          <w:insideH w:val="nil"/>
          <w:insideV w:val="single" w:sz="8" w:space="0" w:color="3C96B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96B4" w:themeColor="accent5"/>
          <w:left w:val="single" w:sz="8" w:space="0" w:color="3C96B4" w:themeColor="accent5"/>
          <w:bottom w:val="single" w:sz="8" w:space="0" w:color="3C96B4" w:themeColor="accent5"/>
          <w:right w:val="single" w:sz="8" w:space="0" w:color="3C96B4" w:themeColor="accent5"/>
          <w:insideH w:val="nil"/>
          <w:insideV w:val="single" w:sz="8" w:space="0" w:color="3C96B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96B4" w:themeColor="accent5"/>
          <w:left w:val="single" w:sz="8" w:space="0" w:color="3C96B4" w:themeColor="accent5"/>
          <w:bottom w:val="single" w:sz="8" w:space="0" w:color="3C96B4" w:themeColor="accent5"/>
          <w:right w:val="single" w:sz="8" w:space="0" w:color="3C96B4" w:themeColor="accent5"/>
        </w:tcBorders>
      </w:tcPr>
    </w:tblStylePr>
    <w:tblStylePr w:type="band1Vert">
      <w:tblPr/>
      <w:tcPr>
        <w:tcBorders>
          <w:top w:val="single" w:sz="8" w:space="0" w:color="3C96B4" w:themeColor="accent5"/>
          <w:left w:val="single" w:sz="8" w:space="0" w:color="3C96B4" w:themeColor="accent5"/>
          <w:bottom w:val="single" w:sz="8" w:space="0" w:color="3C96B4" w:themeColor="accent5"/>
          <w:right w:val="single" w:sz="8" w:space="0" w:color="3C96B4" w:themeColor="accent5"/>
        </w:tcBorders>
        <w:shd w:val="clear" w:color="auto" w:fill="CCE5EE" w:themeFill="accent5" w:themeFillTint="3F"/>
      </w:tcPr>
    </w:tblStylePr>
    <w:tblStylePr w:type="band1Horz">
      <w:tblPr/>
      <w:tcPr>
        <w:tcBorders>
          <w:top w:val="single" w:sz="8" w:space="0" w:color="3C96B4" w:themeColor="accent5"/>
          <w:left w:val="single" w:sz="8" w:space="0" w:color="3C96B4" w:themeColor="accent5"/>
          <w:bottom w:val="single" w:sz="8" w:space="0" w:color="3C96B4" w:themeColor="accent5"/>
          <w:right w:val="single" w:sz="8" w:space="0" w:color="3C96B4" w:themeColor="accent5"/>
          <w:insideV w:val="single" w:sz="8" w:space="0" w:color="3C96B4" w:themeColor="accent5"/>
        </w:tcBorders>
        <w:shd w:val="clear" w:color="auto" w:fill="CCE5EE" w:themeFill="accent5" w:themeFillTint="3F"/>
      </w:tcPr>
    </w:tblStylePr>
    <w:tblStylePr w:type="band2Horz">
      <w:tblPr/>
      <w:tcPr>
        <w:tcBorders>
          <w:top w:val="single" w:sz="8" w:space="0" w:color="3C96B4" w:themeColor="accent5"/>
          <w:left w:val="single" w:sz="8" w:space="0" w:color="3C96B4" w:themeColor="accent5"/>
          <w:bottom w:val="single" w:sz="8" w:space="0" w:color="3C96B4" w:themeColor="accent5"/>
          <w:right w:val="single" w:sz="8" w:space="0" w:color="3C96B4" w:themeColor="accent5"/>
          <w:insideV w:val="single" w:sz="8" w:space="0" w:color="3C96B4" w:themeColor="accent5"/>
        </w:tcBorders>
      </w:tcPr>
    </w:tblStylePr>
  </w:style>
  <w:style w:type="table" w:styleId="LightGrid-Accent6">
    <w:name w:val="Light Grid Accent 6"/>
    <w:basedOn w:val="TableNormal"/>
    <w:uiPriority w:val="62"/>
    <w:semiHidden/>
    <w:unhideWhenUsed/>
    <w:rsid w:val="00BE28F6"/>
    <w:pPr>
      <w:spacing w:after="0" w:line="240" w:lineRule="auto"/>
    </w:pPr>
    <w:tblPr>
      <w:tblStyleRowBandSize w:val="1"/>
      <w:tblStyleColBandSize w:val="1"/>
      <w:tblBorders>
        <w:top w:val="single" w:sz="8" w:space="0" w:color="AFC3FF" w:themeColor="accent6"/>
        <w:left w:val="single" w:sz="8" w:space="0" w:color="AFC3FF" w:themeColor="accent6"/>
        <w:bottom w:val="single" w:sz="8" w:space="0" w:color="AFC3FF" w:themeColor="accent6"/>
        <w:right w:val="single" w:sz="8" w:space="0" w:color="AFC3FF" w:themeColor="accent6"/>
        <w:insideH w:val="single" w:sz="8" w:space="0" w:color="AFC3FF" w:themeColor="accent6"/>
        <w:insideV w:val="single" w:sz="8" w:space="0" w:color="AFC3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FC3FF" w:themeColor="accent6"/>
          <w:left w:val="single" w:sz="8" w:space="0" w:color="AFC3FF" w:themeColor="accent6"/>
          <w:bottom w:val="single" w:sz="18" w:space="0" w:color="AFC3FF" w:themeColor="accent6"/>
          <w:right w:val="single" w:sz="8" w:space="0" w:color="AFC3FF" w:themeColor="accent6"/>
          <w:insideH w:val="nil"/>
          <w:insideV w:val="single" w:sz="8" w:space="0" w:color="AFC3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FC3FF" w:themeColor="accent6"/>
          <w:left w:val="single" w:sz="8" w:space="0" w:color="AFC3FF" w:themeColor="accent6"/>
          <w:bottom w:val="single" w:sz="8" w:space="0" w:color="AFC3FF" w:themeColor="accent6"/>
          <w:right w:val="single" w:sz="8" w:space="0" w:color="AFC3FF" w:themeColor="accent6"/>
          <w:insideH w:val="nil"/>
          <w:insideV w:val="single" w:sz="8" w:space="0" w:color="AFC3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FC3FF" w:themeColor="accent6"/>
          <w:left w:val="single" w:sz="8" w:space="0" w:color="AFC3FF" w:themeColor="accent6"/>
          <w:bottom w:val="single" w:sz="8" w:space="0" w:color="AFC3FF" w:themeColor="accent6"/>
          <w:right w:val="single" w:sz="8" w:space="0" w:color="AFC3FF" w:themeColor="accent6"/>
        </w:tcBorders>
      </w:tcPr>
    </w:tblStylePr>
    <w:tblStylePr w:type="band1Vert">
      <w:tblPr/>
      <w:tcPr>
        <w:tcBorders>
          <w:top w:val="single" w:sz="8" w:space="0" w:color="AFC3FF" w:themeColor="accent6"/>
          <w:left w:val="single" w:sz="8" w:space="0" w:color="AFC3FF" w:themeColor="accent6"/>
          <w:bottom w:val="single" w:sz="8" w:space="0" w:color="AFC3FF" w:themeColor="accent6"/>
          <w:right w:val="single" w:sz="8" w:space="0" w:color="AFC3FF" w:themeColor="accent6"/>
        </w:tcBorders>
        <w:shd w:val="clear" w:color="auto" w:fill="EBEFFF" w:themeFill="accent6" w:themeFillTint="3F"/>
      </w:tcPr>
    </w:tblStylePr>
    <w:tblStylePr w:type="band1Horz">
      <w:tblPr/>
      <w:tcPr>
        <w:tcBorders>
          <w:top w:val="single" w:sz="8" w:space="0" w:color="AFC3FF" w:themeColor="accent6"/>
          <w:left w:val="single" w:sz="8" w:space="0" w:color="AFC3FF" w:themeColor="accent6"/>
          <w:bottom w:val="single" w:sz="8" w:space="0" w:color="AFC3FF" w:themeColor="accent6"/>
          <w:right w:val="single" w:sz="8" w:space="0" w:color="AFC3FF" w:themeColor="accent6"/>
          <w:insideV w:val="single" w:sz="8" w:space="0" w:color="AFC3FF" w:themeColor="accent6"/>
        </w:tcBorders>
        <w:shd w:val="clear" w:color="auto" w:fill="EBEFFF" w:themeFill="accent6" w:themeFillTint="3F"/>
      </w:tcPr>
    </w:tblStylePr>
    <w:tblStylePr w:type="band2Horz">
      <w:tblPr/>
      <w:tcPr>
        <w:tcBorders>
          <w:top w:val="single" w:sz="8" w:space="0" w:color="AFC3FF" w:themeColor="accent6"/>
          <w:left w:val="single" w:sz="8" w:space="0" w:color="AFC3FF" w:themeColor="accent6"/>
          <w:bottom w:val="single" w:sz="8" w:space="0" w:color="AFC3FF" w:themeColor="accent6"/>
          <w:right w:val="single" w:sz="8" w:space="0" w:color="AFC3FF" w:themeColor="accent6"/>
          <w:insideV w:val="single" w:sz="8" w:space="0" w:color="AFC3FF" w:themeColor="accent6"/>
        </w:tcBorders>
      </w:tcPr>
    </w:tblStylePr>
  </w:style>
  <w:style w:type="table" w:styleId="LightList">
    <w:name w:val="Light List"/>
    <w:basedOn w:val="TableNormal"/>
    <w:uiPriority w:val="61"/>
    <w:semiHidden/>
    <w:unhideWhenUsed/>
    <w:rsid w:val="00BE28F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BE28F6"/>
    <w:pPr>
      <w:spacing w:after="0" w:line="240" w:lineRule="auto"/>
    </w:pPr>
    <w:tblPr>
      <w:tblStyleRowBandSize w:val="1"/>
      <w:tblStyleColBandSize w:val="1"/>
      <w:tblBorders>
        <w:top w:val="single" w:sz="8" w:space="0" w:color="051C2C" w:themeColor="accent1"/>
        <w:left w:val="single" w:sz="8" w:space="0" w:color="051C2C" w:themeColor="accent1"/>
        <w:bottom w:val="single" w:sz="8" w:space="0" w:color="051C2C" w:themeColor="accent1"/>
        <w:right w:val="single" w:sz="8" w:space="0" w:color="051C2C" w:themeColor="accent1"/>
      </w:tblBorders>
    </w:tblPr>
    <w:tblStylePr w:type="firstRow">
      <w:pPr>
        <w:spacing w:before="0" w:after="0" w:line="240" w:lineRule="auto"/>
      </w:pPr>
      <w:rPr>
        <w:b/>
        <w:bCs/>
        <w:color w:val="FFFFFF" w:themeColor="background1"/>
      </w:rPr>
      <w:tblPr/>
      <w:tcPr>
        <w:shd w:val="clear" w:color="auto" w:fill="051C2C" w:themeFill="accent1"/>
      </w:tcPr>
    </w:tblStylePr>
    <w:tblStylePr w:type="lastRow">
      <w:pPr>
        <w:spacing w:before="0" w:after="0" w:line="240" w:lineRule="auto"/>
      </w:pPr>
      <w:rPr>
        <w:b/>
        <w:bCs/>
      </w:rPr>
      <w:tblPr/>
      <w:tcPr>
        <w:tcBorders>
          <w:top w:val="double" w:sz="6" w:space="0" w:color="051C2C" w:themeColor="accent1"/>
          <w:left w:val="single" w:sz="8" w:space="0" w:color="051C2C" w:themeColor="accent1"/>
          <w:bottom w:val="single" w:sz="8" w:space="0" w:color="051C2C" w:themeColor="accent1"/>
          <w:right w:val="single" w:sz="8" w:space="0" w:color="051C2C" w:themeColor="accent1"/>
        </w:tcBorders>
      </w:tcPr>
    </w:tblStylePr>
    <w:tblStylePr w:type="firstCol">
      <w:rPr>
        <w:b/>
        <w:bCs/>
      </w:rPr>
    </w:tblStylePr>
    <w:tblStylePr w:type="lastCol">
      <w:rPr>
        <w:b/>
        <w:bCs/>
      </w:rPr>
    </w:tblStylePr>
    <w:tblStylePr w:type="band1Vert">
      <w:tblPr/>
      <w:tcPr>
        <w:tcBorders>
          <w:top w:val="single" w:sz="8" w:space="0" w:color="051C2C" w:themeColor="accent1"/>
          <w:left w:val="single" w:sz="8" w:space="0" w:color="051C2C" w:themeColor="accent1"/>
          <w:bottom w:val="single" w:sz="8" w:space="0" w:color="051C2C" w:themeColor="accent1"/>
          <w:right w:val="single" w:sz="8" w:space="0" w:color="051C2C" w:themeColor="accent1"/>
        </w:tcBorders>
      </w:tcPr>
    </w:tblStylePr>
    <w:tblStylePr w:type="band1Horz">
      <w:tblPr/>
      <w:tcPr>
        <w:tcBorders>
          <w:top w:val="single" w:sz="8" w:space="0" w:color="051C2C" w:themeColor="accent1"/>
          <w:left w:val="single" w:sz="8" w:space="0" w:color="051C2C" w:themeColor="accent1"/>
          <w:bottom w:val="single" w:sz="8" w:space="0" w:color="051C2C" w:themeColor="accent1"/>
          <w:right w:val="single" w:sz="8" w:space="0" w:color="051C2C" w:themeColor="accent1"/>
        </w:tcBorders>
      </w:tcPr>
    </w:tblStylePr>
  </w:style>
  <w:style w:type="table" w:styleId="LightList-Accent2">
    <w:name w:val="Light List Accent 2"/>
    <w:basedOn w:val="TableNormal"/>
    <w:uiPriority w:val="61"/>
    <w:semiHidden/>
    <w:unhideWhenUsed/>
    <w:rsid w:val="00BE28F6"/>
    <w:pPr>
      <w:spacing w:after="0" w:line="240" w:lineRule="auto"/>
    </w:pPr>
    <w:tblPr>
      <w:tblStyleRowBandSize w:val="1"/>
      <w:tblStyleColBandSize w:val="1"/>
      <w:tblBorders>
        <w:top w:val="single" w:sz="8" w:space="0" w:color="00A9F4" w:themeColor="accent2"/>
        <w:left w:val="single" w:sz="8" w:space="0" w:color="00A9F4" w:themeColor="accent2"/>
        <w:bottom w:val="single" w:sz="8" w:space="0" w:color="00A9F4" w:themeColor="accent2"/>
        <w:right w:val="single" w:sz="8" w:space="0" w:color="00A9F4" w:themeColor="accent2"/>
      </w:tblBorders>
    </w:tblPr>
    <w:tblStylePr w:type="firstRow">
      <w:pPr>
        <w:spacing w:before="0" w:after="0" w:line="240" w:lineRule="auto"/>
      </w:pPr>
      <w:rPr>
        <w:b/>
        <w:bCs/>
        <w:color w:val="FFFFFF" w:themeColor="background1"/>
      </w:rPr>
      <w:tblPr/>
      <w:tcPr>
        <w:shd w:val="clear" w:color="auto" w:fill="00A9F4" w:themeFill="accent2"/>
      </w:tcPr>
    </w:tblStylePr>
    <w:tblStylePr w:type="lastRow">
      <w:pPr>
        <w:spacing w:before="0" w:after="0" w:line="240" w:lineRule="auto"/>
      </w:pPr>
      <w:rPr>
        <w:b/>
        <w:bCs/>
      </w:rPr>
      <w:tblPr/>
      <w:tcPr>
        <w:tcBorders>
          <w:top w:val="double" w:sz="6" w:space="0" w:color="00A9F4" w:themeColor="accent2"/>
          <w:left w:val="single" w:sz="8" w:space="0" w:color="00A9F4" w:themeColor="accent2"/>
          <w:bottom w:val="single" w:sz="8" w:space="0" w:color="00A9F4" w:themeColor="accent2"/>
          <w:right w:val="single" w:sz="8" w:space="0" w:color="00A9F4" w:themeColor="accent2"/>
        </w:tcBorders>
      </w:tcPr>
    </w:tblStylePr>
    <w:tblStylePr w:type="firstCol">
      <w:rPr>
        <w:b/>
        <w:bCs/>
      </w:rPr>
    </w:tblStylePr>
    <w:tblStylePr w:type="lastCol">
      <w:rPr>
        <w:b/>
        <w:bCs/>
      </w:rPr>
    </w:tblStylePr>
    <w:tblStylePr w:type="band1Vert">
      <w:tblPr/>
      <w:tcPr>
        <w:tcBorders>
          <w:top w:val="single" w:sz="8" w:space="0" w:color="00A9F4" w:themeColor="accent2"/>
          <w:left w:val="single" w:sz="8" w:space="0" w:color="00A9F4" w:themeColor="accent2"/>
          <w:bottom w:val="single" w:sz="8" w:space="0" w:color="00A9F4" w:themeColor="accent2"/>
          <w:right w:val="single" w:sz="8" w:space="0" w:color="00A9F4" w:themeColor="accent2"/>
        </w:tcBorders>
      </w:tcPr>
    </w:tblStylePr>
    <w:tblStylePr w:type="band1Horz">
      <w:tblPr/>
      <w:tcPr>
        <w:tcBorders>
          <w:top w:val="single" w:sz="8" w:space="0" w:color="00A9F4" w:themeColor="accent2"/>
          <w:left w:val="single" w:sz="8" w:space="0" w:color="00A9F4" w:themeColor="accent2"/>
          <w:bottom w:val="single" w:sz="8" w:space="0" w:color="00A9F4" w:themeColor="accent2"/>
          <w:right w:val="single" w:sz="8" w:space="0" w:color="00A9F4" w:themeColor="accent2"/>
        </w:tcBorders>
      </w:tcPr>
    </w:tblStylePr>
  </w:style>
  <w:style w:type="table" w:styleId="LightList-Accent3">
    <w:name w:val="Light List Accent 3"/>
    <w:basedOn w:val="TableNormal"/>
    <w:uiPriority w:val="61"/>
    <w:semiHidden/>
    <w:unhideWhenUsed/>
    <w:rsid w:val="00BE28F6"/>
    <w:pPr>
      <w:spacing w:after="0" w:line="240" w:lineRule="auto"/>
    </w:pPr>
    <w:tblPr>
      <w:tblStyleRowBandSize w:val="1"/>
      <w:tblStyleColBandSize w:val="1"/>
      <w:tblBorders>
        <w:top w:val="single" w:sz="8" w:space="0" w:color="2251FF" w:themeColor="accent3"/>
        <w:left w:val="single" w:sz="8" w:space="0" w:color="2251FF" w:themeColor="accent3"/>
        <w:bottom w:val="single" w:sz="8" w:space="0" w:color="2251FF" w:themeColor="accent3"/>
        <w:right w:val="single" w:sz="8" w:space="0" w:color="2251FF" w:themeColor="accent3"/>
      </w:tblBorders>
    </w:tblPr>
    <w:tblStylePr w:type="firstRow">
      <w:pPr>
        <w:spacing w:before="0" w:after="0" w:line="240" w:lineRule="auto"/>
      </w:pPr>
      <w:rPr>
        <w:b/>
        <w:bCs/>
        <w:color w:val="FFFFFF" w:themeColor="background1"/>
      </w:rPr>
      <w:tblPr/>
      <w:tcPr>
        <w:shd w:val="clear" w:color="auto" w:fill="2251FF" w:themeFill="accent3"/>
      </w:tcPr>
    </w:tblStylePr>
    <w:tblStylePr w:type="lastRow">
      <w:pPr>
        <w:spacing w:before="0" w:after="0" w:line="240" w:lineRule="auto"/>
      </w:pPr>
      <w:rPr>
        <w:b/>
        <w:bCs/>
      </w:rPr>
      <w:tblPr/>
      <w:tcPr>
        <w:tcBorders>
          <w:top w:val="double" w:sz="6" w:space="0" w:color="2251FF" w:themeColor="accent3"/>
          <w:left w:val="single" w:sz="8" w:space="0" w:color="2251FF" w:themeColor="accent3"/>
          <w:bottom w:val="single" w:sz="8" w:space="0" w:color="2251FF" w:themeColor="accent3"/>
          <w:right w:val="single" w:sz="8" w:space="0" w:color="2251FF" w:themeColor="accent3"/>
        </w:tcBorders>
      </w:tcPr>
    </w:tblStylePr>
    <w:tblStylePr w:type="firstCol">
      <w:rPr>
        <w:b/>
        <w:bCs/>
      </w:rPr>
    </w:tblStylePr>
    <w:tblStylePr w:type="lastCol">
      <w:rPr>
        <w:b/>
        <w:bCs/>
      </w:rPr>
    </w:tblStylePr>
    <w:tblStylePr w:type="band1Vert">
      <w:tblPr/>
      <w:tcPr>
        <w:tcBorders>
          <w:top w:val="single" w:sz="8" w:space="0" w:color="2251FF" w:themeColor="accent3"/>
          <w:left w:val="single" w:sz="8" w:space="0" w:color="2251FF" w:themeColor="accent3"/>
          <w:bottom w:val="single" w:sz="8" w:space="0" w:color="2251FF" w:themeColor="accent3"/>
          <w:right w:val="single" w:sz="8" w:space="0" w:color="2251FF" w:themeColor="accent3"/>
        </w:tcBorders>
      </w:tcPr>
    </w:tblStylePr>
    <w:tblStylePr w:type="band1Horz">
      <w:tblPr/>
      <w:tcPr>
        <w:tcBorders>
          <w:top w:val="single" w:sz="8" w:space="0" w:color="2251FF" w:themeColor="accent3"/>
          <w:left w:val="single" w:sz="8" w:space="0" w:color="2251FF" w:themeColor="accent3"/>
          <w:bottom w:val="single" w:sz="8" w:space="0" w:color="2251FF" w:themeColor="accent3"/>
          <w:right w:val="single" w:sz="8" w:space="0" w:color="2251FF" w:themeColor="accent3"/>
        </w:tcBorders>
      </w:tcPr>
    </w:tblStylePr>
  </w:style>
  <w:style w:type="table" w:styleId="LightList-Accent4">
    <w:name w:val="Light List Accent 4"/>
    <w:basedOn w:val="TableNormal"/>
    <w:uiPriority w:val="61"/>
    <w:semiHidden/>
    <w:unhideWhenUsed/>
    <w:rsid w:val="00BE28F6"/>
    <w:pPr>
      <w:spacing w:after="0" w:line="240" w:lineRule="auto"/>
    </w:pPr>
    <w:tblPr>
      <w:tblStyleRowBandSize w:val="1"/>
      <w:tblStyleColBandSize w:val="1"/>
      <w:tblBorders>
        <w:top w:val="single" w:sz="8" w:space="0" w:color="AAE6F0" w:themeColor="accent4"/>
        <w:left w:val="single" w:sz="8" w:space="0" w:color="AAE6F0" w:themeColor="accent4"/>
        <w:bottom w:val="single" w:sz="8" w:space="0" w:color="AAE6F0" w:themeColor="accent4"/>
        <w:right w:val="single" w:sz="8" w:space="0" w:color="AAE6F0" w:themeColor="accent4"/>
      </w:tblBorders>
    </w:tblPr>
    <w:tblStylePr w:type="firstRow">
      <w:pPr>
        <w:spacing w:before="0" w:after="0" w:line="240" w:lineRule="auto"/>
      </w:pPr>
      <w:rPr>
        <w:b/>
        <w:bCs/>
        <w:color w:val="FFFFFF" w:themeColor="background1"/>
      </w:rPr>
      <w:tblPr/>
      <w:tcPr>
        <w:shd w:val="clear" w:color="auto" w:fill="AAE6F0" w:themeFill="accent4"/>
      </w:tcPr>
    </w:tblStylePr>
    <w:tblStylePr w:type="lastRow">
      <w:pPr>
        <w:spacing w:before="0" w:after="0" w:line="240" w:lineRule="auto"/>
      </w:pPr>
      <w:rPr>
        <w:b/>
        <w:bCs/>
      </w:rPr>
      <w:tblPr/>
      <w:tcPr>
        <w:tcBorders>
          <w:top w:val="double" w:sz="6" w:space="0" w:color="AAE6F0" w:themeColor="accent4"/>
          <w:left w:val="single" w:sz="8" w:space="0" w:color="AAE6F0" w:themeColor="accent4"/>
          <w:bottom w:val="single" w:sz="8" w:space="0" w:color="AAE6F0" w:themeColor="accent4"/>
          <w:right w:val="single" w:sz="8" w:space="0" w:color="AAE6F0" w:themeColor="accent4"/>
        </w:tcBorders>
      </w:tcPr>
    </w:tblStylePr>
    <w:tblStylePr w:type="firstCol">
      <w:rPr>
        <w:b/>
        <w:bCs/>
      </w:rPr>
    </w:tblStylePr>
    <w:tblStylePr w:type="lastCol">
      <w:rPr>
        <w:b/>
        <w:bCs/>
      </w:rPr>
    </w:tblStylePr>
    <w:tblStylePr w:type="band1Vert">
      <w:tblPr/>
      <w:tcPr>
        <w:tcBorders>
          <w:top w:val="single" w:sz="8" w:space="0" w:color="AAE6F0" w:themeColor="accent4"/>
          <w:left w:val="single" w:sz="8" w:space="0" w:color="AAE6F0" w:themeColor="accent4"/>
          <w:bottom w:val="single" w:sz="8" w:space="0" w:color="AAE6F0" w:themeColor="accent4"/>
          <w:right w:val="single" w:sz="8" w:space="0" w:color="AAE6F0" w:themeColor="accent4"/>
        </w:tcBorders>
      </w:tcPr>
    </w:tblStylePr>
    <w:tblStylePr w:type="band1Horz">
      <w:tblPr/>
      <w:tcPr>
        <w:tcBorders>
          <w:top w:val="single" w:sz="8" w:space="0" w:color="AAE6F0" w:themeColor="accent4"/>
          <w:left w:val="single" w:sz="8" w:space="0" w:color="AAE6F0" w:themeColor="accent4"/>
          <w:bottom w:val="single" w:sz="8" w:space="0" w:color="AAE6F0" w:themeColor="accent4"/>
          <w:right w:val="single" w:sz="8" w:space="0" w:color="AAE6F0" w:themeColor="accent4"/>
        </w:tcBorders>
      </w:tcPr>
    </w:tblStylePr>
  </w:style>
  <w:style w:type="table" w:styleId="LightList-Accent5">
    <w:name w:val="Light List Accent 5"/>
    <w:basedOn w:val="TableNormal"/>
    <w:uiPriority w:val="61"/>
    <w:semiHidden/>
    <w:unhideWhenUsed/>
    <w:rsid w:val="00BE28F6"/>
    <w:pPr>
      <w:spacing w:after="0" w:line="240" w:lineRule="auto"/>
    </w:pPr>
    <w:tblPr>
      <w:tblStyleRowBandSize w:val="1"/>
      <w:tblStyleColBandSize w:val="1"/>
      <w:tblBorders>
        <w:top w:val="single" w:sz="8" w:space="0" w:color="3C96B4" w:themeColor="accent5"/>
        <w:left w:val="single" w:sz="8" w:space="0" w:color="3C96B4" w:themeColor="accent5"/>
        <w:bottom w:val="single" w:sz="8" w:space="0" w:color="3C96B4" w:themeColor="accent5"/>
        <w:right w:val="single" w:sz="8" w:space="0" w:color="3C96B4" w:themeColor="accent5"/>
      </w:tblBorders>
    </w:tblPr>
    <w:tblStylePr w:type="firstRow">
      <w:pPr>
        <w:spacing w:before="0" w:after="0" w:line="240" w:lineRule="auto"/>
      </w:pPr>
      <w:rPr>
        <w:b/>
        <w:bCs/>
        <w:color w:val="FFFFFF" w:themeColor="background1"/>
      </w:rPr>
      <w:tblPr/>
      <w:tcPr>
        <w:shd w:val="clear" w:color="auto" w:fill="3C96B4" w:themeFill="accent5"/>
      </w:tcPr>
    </w:tblStylePr>
    <w:tblStylePr w:type="lastRow">
      <w:pPr>
        <w:spacing w:before="0" w:after="0" w:line="240" w:lineRule="auto"/>
      </w:pPr>
      <w:rPr>
        <w:b/>
        <w:bCs/>
      </w:rPr>
      <w:tblPr/>
      <w:tcPr>
        <w:tcBorders>
          <w:top w:val="double" w:sz="6" w:space="0" w:color="3C96B4" w:themeColor="accent5"/>
          <w:left w:val="single" w:sz="8" w:space="0" w:color="3C96B4" w:themeColor="accent5"/>
          <w:bottom w:val="single" w:sz="8" w:space="0" w:color="3C96B4" w:themeColor="accent5"/>
          <w:right w:val="single" w:sz="8" w:space="0" w:color="3C96B4" w:themeColor="accent5"/>
        </w:tcBorders>
      </w:tcPr>
    </w:tblStylePr>
    <w:tblStylePr w:type="firstCol">
      <w:rPr>
        <w:b/>
        <w:bCs/>
      </w:rPr>
    </w:tblStylePr>
    <w:tblStylePr w:type="lastCol">
      <w:rPr>
        <w:b/>
        <w:bCs/>
      </w:rPr>
    </w:tblStylePr>
    <w:tblStylePr w:type="band1Vert">
      <w:tblPr/>
      <w:tcPr>
        <w:tcBorders>
          <w:top w:val="single" w:sz="8" w:space="0" w:color="3C96B4" w:themeColor="accent5"/>
          <w:left w:val="single" w:sz="8" w:space="0" w:color="3C96B4" w:themeColor="accent5"/>
          <w:bottom w:val="single" w:sz="8" w:space="0" w:color="3C96B4" w:themeColor="accent5"/>
          <w:right w:val="single" w:sz="8" w:space="0" w:color="3C96B4" w:themeColor="accent5"/>
        </w:tcBorders>
      </w:tcPr>
    </w:tblStylePr>
    <w:tblStylePr w:type="band1Horz">
      <w:tblPr/>
      <w:tcPr>
        <w:tcBorders>
          <w:top w:val="single" w:sz="8" w:space="0" w:color="3C96B4" w:themeColor="accent5"/>
          <w:left w:val="single" w:sz="8" w:space="0" w:color="3C96B4" w:themeColor="accent5"/>
          <w:bottom w:val="single" w:sz="8" w:space="0" w:color="3C96B4" w:themeColor="accent5"/>
          <w:right w:val="single" w:sz="8" w:space="0" w:color="3C96B4" w:themeColor="accent5"/>
        </w:tcBorders>
      </w:tcPr>
    </w:tblStylePr>
  </w:style>
  <w:style w:type="table" w:styleId="LightList-Accent6">
    <w:name w:val="Light List Accent 6"/>
    <w:basedOn w:val="TableNormal"/>
    <w:uiPriority w:val="61"/>
    <w:semiHidden/>
    <w:unhideWhenUsed/>
    <w:rsid w:val="00BE28F6"/>
    <w:pPr>
      <w:spacing w:after="0" w:line="240" w:lineRule="auto"/>
    </w:pPr>
    <w:tblPr>
      <w:tblStyleRowBandSize w:val="1"/>
      <w:tblStyleColBandSize w:val="1"/>
      <w:tblBorders>
        <w:top w:val="single" w:sz="8" w:space="0" w:color="AFC3FF" w:themeColor="accent6"/>
        <w:left w:val="single" w:sz="8" w:space="0" w:color="AFC3FF" w:themeColor="accent6"/>
        <w:bottom w:val="single" w:sz="8" w:space="0" w:color="AFC3FF" w:themeColor="accent6"/>
        <w:right w:val="single" w:sz="8" w:space="0" w:color="AFC3FF" w:themeColor="accent6"/>
      </w:tblBorders>
    </w:tblPr>
    <w:tblStylePr w:type="firstRow">
      <w:pPr>
        <w:spacing w:before="0" w:after="0" w:line="240" w:lineRule="auto"/>
      </w:pPr>
      <w:rPr>
        <w:b/>
        <w:bCs/>
        <w:color w:val="FFFFFF" w:themeColor="background1"/>
      </w:rPr>
      <w:tblPr/>
      <w:tcPr>
        <w:shd w:val="clear" w:color="auto" w:fill="AFC3FF" w:themeFill="accent6"/>
      </w:tcPr>
    </w:tblStylePr>
    <w:tblStylePr w:type="lastRow">
      <w:pPr>
        <w:spacing w:before="0" w:after="0" w:line="240" w:lineRule="auto"/>
      </w:pPr>
      <w:rPr>
        <w:b/>
        <w:bCs/>
      </w:rPr>
      <w:tblPr/>
      <w:tcPr>
        <w:tcBorders>
          <w:top w:val="double" w:sz="6" w:space="0" w:color="AFC3FF" w:themeColor="accent6"/>
          <w:left w:val="single" w:sz="8" w:space="0" w:color="AFC3FF" w:themeColor="accent6"/>
          <w:bottom w:val="single" w:sz="8" w:space="0" w:color="AFC3FF" w:themeColor="accent6"/>
          <w:right w:val="single" w:sz="8" w:space="0" w:color="AFC3FF" w:themeColor="accent6"/>
        </w:tcBorders>
      </w:tcPr>
    </w:tblStylePr>
    <w:tblStylePr w:type="firstCol">
      <w:rPr>
        <w:b/>
        <w:bCs/>
      </w:rPr>
    </w:tblStylePr>
    <w:tblStylePr w:type="lastCol">
      <w:rPr>
        <w:b/>
        <w:bCs/>
      </w:rPr>
    </w:tblStylePr>
    <w:tblStylePr w:type="band1Vert">
      <w:tblPr/>
      <w:tcPr>
        <w:tcBorders>
          <w:top w:val="single" w:sz="8" w:space="0" w:color="AFC3FF" w:themeColor="accent6"/>
          <w:left w:val="single" w:sz="8" w:space="0" w:color="AFC3FF" w:themeColor="accent6"/>
          <w:bottom w:val="single" w:sz="8" w:space="0" w:color="AFC3FF" w:themeColor="accent6"/>
          <w:right w:val="single" w:sz="8" w:space="0" w:color="AFC3FF" w:themeColor="accent6"/>
        </w:tcBorders>
      </w:tcPr>
    </w:tblStylePr>
    <w:tblStylePr w:type="band1Horz">
      <w:tblPr/>
      <w:tcPr>
        <w:tcBorders>
          <w:top w:val="single" w:sz="8" w:space="0" w:color="AFC3FF" w:themeColor="accent6"/>
          <w:left w:val="single" w:sz="8" w:space="0" w:color="AFC3FF" w:themeColor="accent6"/>
          <w:bottom w:val="single" w:sz="8" w:space="0" w:color="AFC3FF" w:themeColor="accent6"/>
          <w:right w:val="single" w:sz="8" w:space="0" w:color="AFC3FF" w:themeColor="accent6"/>
        </w:tcBorders>
      </w:tcPr>
    </w:tblStylePr>
  </w:style>
  <w:style w:type="table" w:styleId="LightShading">
    <w:name w:val="Light Shading"/>
    <w:basedOn w:val="TableNormal"/>
    <w:uiPriority w:val="60"/>
    <w:semiHidden/>
    <w:unhideWhenUsed/>
    <w:rsid w:val="00BE28F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BE28F6"/>
    <w:pPr>
      <w:spacing w:after="0" w:line="240" w:lineRule="auto"/>
    </w:pPr>
    <w:rPr>
      <w:color w:val="031420" w:themeColor="accent1" w:themeShade="BF"/>
    </w:rPr>
    <w:tblPr>
      <w:tblStyleRowBandSize w:val="1"/>
      <w:tblStyleColBandSize w:val="1"/>
      <w:tblBorders>
        <w:top w:val="single" w:sz="8" w:space="0" w:color="051C2C" w:themeColor="accent1"/>
        <w:bottom w:val="single" w:sz="8" w:space="0" w:color="051C2C" w:themeColor="accent1"/>
      </w:tblBorders>
    </w:tblPr>
    <w:tblStylePr w:type="firstRow">
      <w:pPr>
        <w:spacing w:before="0" w:after="0" w:line="240" w:lineRule="auto"/>
      </w:pPr>
      <w:rPr>
        <w:b/>
        <w:bCs/>
      </w:rPr>
      <w:tblPr/>
      <w:tcPr>
        <w:tcBorders>
          <w:top w:val="single" w:sz="8" w:space="0" w:color="051C2C" w:themeColor="accent1"/>
          <w:left w:val="nil"/>
          <w:bottom w:val="single" w:sz="8" w:space="0" w:color="051C2C" w:themeColor="accent1"/>
          <w:right w:val="nil"/>
          <w:insideH w:val="nil"/>
          <w:insideV w:val="nil"/>
        </w:tcBorders>
      </w:tcPr>
    </w:tblStylePr>
    <w:tblStylePr w:type="lastRow">
      <w:pPr>
        <w:spacing w:before="0" w:after="0" w:line="240" w:lineRule="auto"/>
      </w:pPr>
      <w:rPr>
        <w:b/>
        <w:bCs/>
      </w:rPr>
      <w:tblPr/>
      <w:tcPr>
        <w:tcBorders>
          <w:top w:val="single" w:sz="8" w:space="0" w:color="051C2C" w:themeColor="accent1"/>
          <w:left w:val="nil"/>
          <w:bottom w:val="single" w:sz="8" w:space="0" w:color="051C2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CEF3" w:themeFill="accent1" w:themeFillTint="3F"/>
      </w:tcPr>
    </w:tblStylePr>
    <w:tblStylePr w:type="band1Horz">
      <w:tblPr/>
      <w:tcPr>
        <w:tcBorders>
          <w:left w:val="nil"/>
          <w:right w:val="nil"/>
          <w:insideH w:val="nil"/>
          <w:insideV w:val="nil"/>
        </w:tcBorders>
        <w:shd w:val="clear" w:color="auto" w:fill="98CEF3" w:themeFill="accent1" w:themeFillTint="3F"/>
      </w:tcPr>
    </w:tblStylePr>
  </w:style>
  <w:style w:type="table" w:styleId="LightShading-Accent2">
    <w:name w:val="Light Shading Accent 2"/>
    <w:basedOn w:val="TableNormal"/>
    <w:uiPriority w:val="60"/>
    <w:semiHidden/>
    <w:unhideWhenUsed/>
    <w:rsid w:val="00BE28F6"/>
    <w:pPr>
      <w:spacing w:after="0" w:line="240" w:lineRule="auto"/>
    </w:pPr>
    <w:rPr>
      <w:color w:val="007EB6" w:themeColor="accent2" w:themeShade="BF"/>
    </w:rPr>
    <w:tblPr>
      <w:tblStyleRowBandSize w:val="1"/>
      <w:tblStyleColBandSize w:val="1"/>
      <w:tblBorders>
        <w:top w:val="single" w:sz="8" w:space="0" w:color="00A9F4" w:themeColor="accent2"/>
        <w:bottom w:val="single" w:sz="8" w:space="0" w:color="00A9F4" w:themeColor="accent2"/>
      </w:tblBorders>
    </w:tblPr>
    <w:tblStylePr w:type="firstRow">
      <w:pPr>
        <w:spacing w:before="0" w:after="0" w:line="240" w:lineRule="auto"/>
      </w:pPr>
      <w:rPr>
        <w:b/>
        <w:bCs/>
      </w:rPr>
      <w:tblPr/>
      <w:tcPr>
        <w:tcBorders>
          <w:top w:val="single" w:sz="8" w:space="0" w:color="00A9F4" w:themeColor="accent2"/>
          <w:left w:val="nil"/>
          <w:bottom w:val="single" w:sz="8" w:space="0" w:color="00A9F4" w:themeColor="accent2"/>
          <w:right w:val="nil"/>
          <w:insideH w:val="nil"/>
          <w:insideV w:val="nil"/>
        </w:tcBorders>
      </w:tcPr>
    </w:tblStylePr>
    <w:tblStylePr w:type="lastRow">
      <w:pPr>
        <w:spacing w:before="0" w:after="0" w:line="240" w:lineRule="auto"/>
      </w:pPr>
      <w:rPr>
        <w:b/>
        <w:bCs/>
      </w:rPr>
      <w:tblPr/>
      <w:tcPr>
        <w:tcBorders>
          <w:top w:val="single" w:sz="8" w:space="0" w:color="00A9F4" w:themeColor="accent2"/>
          <w:left w:val="nil"/>
          <w:bottom w:val="single" w:sz="8" w:space="0" w:color="00A9F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AFF" w:themeFill="accent2" w:themeFillTint="3F"/>
      </w:tcPr>
    </w:tblStylePr>
    <w:tblStylePr w:type="band1Horz">
      <w:tblPr/>
      <w:tcPr>
        <w:tcBorders>
          <w:left w:val="nil"/>
          <w:right w:val="nil"/>
          <w:insideH w:val="nil"/>
          <w:insideV w:val="nil"/>
        </w:tcBorders>
        <w:shd w:val="clear" w:color="auto" w:fill="BDEAFF" w:themeFill="accent2" w:themeFillTint="3F"/>
      </w:tcPr>
    </w:tblStylePr>
  </w:style>
  <w:style w:type="table" w:styleId="LightShading-Accent3">
    <w:name w:val="Light Shading Accent 3"/>
    <w:basedOn w:val="TableNormal"/>
    <w:uiPriority w:val="60"/>
    <w:semiHidden/>
    <w:unhideWhenUsed/>
    <w:rsid w:val="00BE28F6"/>
    <w:pPr>
      <w:spacing w:after="0" w:line="240" w:lineRule="auto"/>
    </w:pPr>
    <w:rPr>
      <w:color w:val="002DD8" w:themeColor="accent3" w:themeShade="BF"/>
    </w:rPr>
    <w:tblPr>
      <w:tblStyleRowBandSize w:val="1"/>
      <w:tblStyleColBandSize w:val="1"/>
      <w:tblBorders>
        <w:top w:val="single" w:sz="8" w:space="0" w:color="2251FF" w:themeColor="accent3"/>
        <w:bottom w:val="single" w:sz="8" w:space="0" w:color="2251FF" w:themeColor="accent3"/>
      </w:tblBorders>
    </w:tblPr>
    <w:tblStylePr w:type="firstRow">
      <w:pPr>
        <w:spacing w:before="0" w:after="0" w:line="240" w:lineRule="auto"/>
      </w:pPr>
      <w:rPr>
        <w:b/>
        <w:bCs/>
      </w:rPr>
      <w:tblPr/>
      <w:tcPr>
        <w:tcBorders>
          <w:top w:val="single" w:sz="8" w:space="0" w:color="2251FF" w:themeColor="accent3"/>
          <w:left w:val="nil"/>
          <w:bottom w:val="single" w:sz="8" w:space="0" w:color="2251FF" w:themeColor="accent3"/>
          <w:right w:val="nil"/>
          <w:insideH w:val="nil"/>
          <w:insideV w:val="nil"/>
        </w:tcBorders>
      </w:tcPr>
    </w:tblStylePr>
    <w:tblStylePr w:type="lastRow">
      <w:pPr>
        <w:spacing w:before="0" w:after="0" w:line="240" w:lineRule="auto"/>
      </w:pPr>
      <w:rPr>
        <w:b/>
        <w:bCs/>
      </w:rPr>
      <w:tblPr/>
      <w:tcPr>
        <w:tcBorders>
          <w:top w:val="single" w:sz="8" w:space="0" w:color="2251FF" w:themeColor="accent3"/>
          <w:left w:val="nil"/>
          <w:bottom w:val="single" w:sz="8" w:space="0" w:color="2251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D3FF" w:themeFill="accent3" w:themeFillTint="3F"/>
      </w:tcPr>
    </w:tblStylePr>
    <w:tblStylePr w:type="band1Horz">
      <w:tblPr/>
      <w:tcPr>
        <w:tcBorders>
          <w:left w:val="nil"/>
          <w:right w:val="nil"/>
          <w:insideH w:val="nil"/>
          <w:insideV w:val="nil"/>
        </w:tcBorders>
        <w:shd w:val="clear" w:color="auto" w:fill="C8D3FF" w:themeFill="accent3" w:themeFillTint="3F"/>
      </w:tcPr>
    </w:tblStylePr>
  </w:style>
  <w:style w:type="table" w:styleId="LightShading-Accent4">
    <w:name w:val="Light Shading Accent 4"/>
    <w:basedOn w:val="TableNormal"/>
    <w:uiPriority w:val="60"/>
    <w:semiHidden/>
    <w:unhideWhenUsed/>
    <w:rsid w:val="00BE28F6"/>
    <w:pPr>
      <w:spacing w:after="0" w:line="240" w:lineRule="auto"/>
    </w:pPr>
    <w:rPr>
      <w:color w:val="52CCE0" w:themeColor="accent4" w:themeShade="BF"/>
    </w:rPr>
    <w:tblPr>
      <w:tblStyleRowBandSize w:val="1"/>
      <w:tblStyleColBandSize w:val="1"/>
      <w:tblBorders>
        <w:top w:val="single" w:sz="8" w:space="0" w:color="AAE6F0" w:themeColor="accent4"/>
        <w:bottom w:val="single" w:sz="8" w:space="0" w:color="AAE6F0" w:themeColor="accent4"/>
      </w:tblBorders>
    </w:tblPr>
    <w:tblStylePr w:type="firstRow">
      <w:pPr>
        <w:spacing w:before="0" w:after="0" w:line="240" w:lineRule="auto"/>
      </w:pPr>
      <w:rPr>
        <w:b/>
        <w:bCs/>
      </w:rPr>
      <w:tblPr/>
      <w:tcPr>
        <w:tcBorders>
          <w:top w:val="single" w:sz="8" w:space="0" w:color="AAE6F0" w:themeColor="accent4"/>
          <w:left w:val="nil"/>
          <w:bottom w:val="single" w:sz="8" w:space="0" w:color="AAE6F0" w:themeColor="accent4"/>
          <w:right w:val="nil"/>
          <w:insideH w:val="nil"/>
          <w:insideV w:val="nil"/>
        </w:tcBorders>
      </w:tcPr>
    </w:tblStylePr>
    <w:tblStylePr w:type="lastRow">
      <w:pPr>
        <w:spacing w:before="0" w:after="0" w:line="240" w:lineRule="auto"/>
      </w:pPr>
      <w:rPr>
        <w:b/>
        <w:bCs/>
      </w:rPr>
      <w:tblPr/>
      <w:tcPr>
        <w:tcBorders>
          <w:top w:val="single" w:sz="8" w:space="0" w:color="AAE6F0" w:themeColor="accent4"/>
          <w:left w:val="nil"/>
          <w:bottom w:val="single" w:sz="8" w:space="0" w:color="AAE6F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8FB" w:themeFill="accent4" w:themeFillTint="3F"/>
      </w:tcPr>
    </w:tblStylePr>
    <w:tblStylePr w:type="band1Horz">
      <w:tblPr/>
      <w:tcPr>
        <w:tcBorders>
          <w:left w:val="nil"/>
          <w:right w:val="nil"/>
          <w:insideH w:val="nil"/>
          <w:insideV w:val="nil"/>
        </w:tcBorders>
        <w:shd w:val="clear" w:color="auto" w:fill="E9F8FB" w:themeFill="accent4" w:themeFillTint="3F"/>
      </w:tcPr>
    </w:tblStylePr>
  </w:style>
  <w:style w:type="table" w:styleId="LightShading-Accent5">
    <w:name w:val="Light Shading Accent 5"/>
    <w:basedOn w:val="TableNormal"/>
    <w:uiPriority w:val="60"/>
    <w:semiHidden/>
    <w:unhideWhenUsed/>
    <w:rsid w:val="00BE28F6"/>
    <w:pPr>
      <w:spacing w:after="0" w:line="240" w:lineRule="auto"/>
    </w:pPr>
    <w:rPr>
      <w:color w:val="2D7086" w:themeColor="accent5" w:themeShade="BF"/>
    </w:rPr>
    <w:tblPr>
      <w:tblStyleRowBandSize w:val="1"/>
      <w:tblStyleColBandSize w:val="1"/>
      <w:tblBorders>
        <w:top w:val="single" w:sz="8" w:space="0" w:color="3C96B4" w:themeColor="accent5"/>
        <w:bottom w:val="single" w:sz="8" w:space="0" w:color="3C96B4" w:themeColor="accent5"/>
      </w:tblBorders>
    </w:tblPr>
    <w:tblStylePr w:type="firstRow">
      <w:pPr>
        <w:spacing w:before="0" w:after="0" w:line="240" w:lineRule="auto"/>
      </w:pPr>
      <w:rPr>
        <w:b/>
        <w:bCs/>
      </w:rPr>
      <w:tblPr/>
      <w:tcPr>
        <w:tcBorders>
          <w:top w:val="single" w:sz="8" w:space="0" w:color="3C96B4" w:themeColor="accent5"/>
          <w:left w:val="nil"/>
          <w:bottom w:val="single" w:sz="8" w:space="0" w:color="3C96B4" w:themeColor="accent5"/>
          <w:right w:val="nil"/>
          <w:insideH w:val="nil"/>
          <w:insideV w:val="nil"/>
        </w:tcBorders>
      </w:tcPr>
    </w:tblStylePr>
    <w:tblStylePr w:type="lastRow">
      <w:pPr>
        <w:spacing w:before="0" w:after="0" w:line="240" w:lineRule="auto"/>
      </w:pPr>
      <w:rPr>
        <w:b/>
        <w:bCs/>
      </w:rPr>
      <w:tblPr/>
      <w:tcPr>
        <w:tcBorders>
          <w:top w:val="single" w:sz="8" w:space="0" w:color="3C96B4" w:themeColor="accent5"/>
          <w:left w:val="nil"/>
          <w:bottom w:val="single" w:sz="8" w:space="0" w:color="3C96B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5EE" w:themeFill="accent5" w:themeFillTint="3F"/>
      </w:tcPr>
    </w:tblStylePr>
    <w:tblStylePr w:type="band1Horz">
      <w:tblPr/>
      <w:tcPr>
        <w:tcBorders>
          <w:left w:val="nil"/>
          <w:right w:val="nil"/>
          <w:insideH w:val="nil"/>
          <w:insideV w:val="nil"/>
        </w:tcBorders>
        <w:shd w:val="clear" w:color="auto" w:fill="CCE5EE" w:themeFill="accent5" w:themeFillTint="3F"/>
      </w:tcPr>
    </w:tblStylePr>
  </w:style>
  <w:style w:type="table" w:styleId="LightShading-Accent6">
    <w:name w:val="Light Shading Accent 6"/>
    <w:basedOn w:val="TableNormal"/>
    <w:uiPriority w:val="60"/>
    <w:semiHidden/>
    <w:unhideWhenUsed/>
    <w:rsid w:val="00BE28F6"/>
    <w:pPr>
      <w:spacing w:after="0" w:line="240" w:lineRule="auto"/>
    </w:pPr>
    <w:rPr>
      <w:color w:val="4371FF" w:themeColor="accent6" w:themeShade="BF"/>
    </w:rPr>
    <w:tblPr>
      <w:tblStyleRowBandSize w:val="1"/>
      <w:tblStyleColBandSize w:val="1"/>
      <w:tblBorders>
        <w:top w:val="single" w:sz="8" w:space="0" w:color="AFC3FF" w:themeColor="accent6"/>
        <w:bottom w:val="single" w:sz="8" w:space="0" w:color="AFC3FF" w:themeColor="accent6"/>
      </w:tblBorders>
    </w:tblPr>
    <w:tblStylePr w:type="firstRow">
      <w:pPr>
        <w:spacing w:before="0" w:after="0" w:line="240" w:lineRule="auto"/>
      </w:pPr>
      <w:rPr>
        <w:b/>
        <w:bCs/>
      </w:rPr>
      <w:tblPr/>
      <w:tcPr>
        <w:tcBorders>
          <w:top w:val="single" w:sz="8" w:space="0" w:color="AFC3FF" w:themeColor="accent6"/>
          <w:left w:val="nil"/>
          <w:bottom w:val="single" w:sz="8" w:space="0" w:color="AFC3FF" w:themeColor="accent6"/>
          <w:right w:val="nil"/>
          <w:insideH w:val="nil"/>
          <w:insideV w:val="nil"/>
        </w:tcBorders>
      </w:tcPr>
    </w:tblStylePr>
    <w:tblStylePr w:type="lastRow">
      <w:pPr>
        <w:spacing w:before="0" w:after="0" w:line="240" w:lineRule="auto"/>
      </w:pPr>
      <w:rPr>
        <w:b/>
        <w:bCs/>
      </w:rPr>
      <w:tblPr/>
      <w:tcPr>
        <w:tcBorders>
          <w:top w:val="single" w:sz="8" w:space="0" w:color="AFC3FF" w:themeColor="accent6"/>
          <w:left w:val="nil"/>
          <w:bottom w:val="single" w:sz="8" w:space="0" w:color="AFC3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FFF" w:themeFill="accent6" w:themeFillTint="3F"/>
      </w:tcPr>
    </w:tblStylePr>
    <w:tblStylePr w:type="band1Horz">
      <w:tblPr/>
      <w:tcPr>
        <w:tcBorders>
          <w:left w:val="nil"/>
          <w:right w:val="nil"/>
          <w:insideH w:val="nil"/>
          <w:insideV w:val="nil"/>
        </w:tcBorders>
        <w:shd w:val="clear" w:color="auto" w:fill="EBEFFF" w:themeFill="accent6" w:themeFillTint="3F"/>
      </w:tcPr>
    </w:tblStylePr>
  </w:style>
  <w:style w:type="character" w:styleId="LineNumber">
    <w:name w:val="line number"/>
    <w:basedOn w:val="DefaultParagraphFont"/>
    <w:uiPriority w:val="99"/>
    <w:semiHidden/>
    <w:unhideWhenUsed/>
    <w:rsid w:val="00BE28F6"/>
  </w:style>
  <w:style w:type="paragraph" w:styleId="List">
    <w:name w:val="List"/>
    <w:basedOn w:val="Normal"/>
    <w:uiPriority w:val="99"/>
    <w:semiHidden/>
    <w:unhideWhenUsed/>
    <w:rsid w:val="00BE28F6"/>
    <w:pPr>
      <w:ind w:left="283" w:hanging="283"/>
      <w:contextualSpacing/>
    </w:pPr>
  </w:style>
  <w:style w:type="paragraph" w:styleId="List2">
    <w:name w:val="List 2"/>
    <w:basedOn w:val="Normal"/>
    <w:uiPriority w:val="99"/>
    <w:semiHidden/>
    <w:unhideWhenUsed/>
    <w:rsid w:val="00BE28F6"/>
    <w:pPr>
      <w:ind w:left="566" w:hanging="283"/>
      <w:contextualSpacing/>
    </w:pPr>
  </w:style>
  <w:style w:type="paragraph" w:styleId="List3">
    <w:name w:val="List 3"/>
    <w:basedOn w:val="Normal"/>
    <w:uiPriority w:val="99"/>
    <w:semiHidden/>
    <w:unhideWhenUsed/>
    <w:rsid w:val="00BE28F6"/>
    <w:pPr>
      <w:ind w:left="849" w:hanging="283"/>
      <w:contextualSpacing/>
    </w:pPr>
  </w:style>
  <w:style w:type="paragraph" w:styleId="List4">
    <w:name w:val="List 4"/>
    <w:basedOn w:val="Normal"/>
    <w:uiPriority w:val="99"/>
    <w:semiHidden/>
    <w:unhideWhenUsed/>
    <w:rsid w:val="00BE28F6"/>
    <w:pPr>
      <w:ind w:left="1132" w:hanging="283"/>
      <w:contextualSpacing/>
    </w:pPr>
  </w:style>
  <w:style w:type="paragraph" w:styleId="List5">
    <w:name w:val="List 5"/>
    <w:basedOn w:val="Normal"/>
    <w:uiPriority w:val="99"/>
    <w:semiHidden/>
    <w:unhideWhenUsed/>
    <w:rsid w:val="00BE28F6"/>
    <w:pPr>
      <w:ind w:left="1415" w:hanging="283"/>
      <w:contextualSpacing/>
    </w:pPr>
  </w:style>
  <w:style w:type="paragraph" w:styleId="ListContinue">
    <w:name w:val="List Continue"/>
    <w:basedOn w:val="Normal"/>
    <w:uiPriority w:val="99"/>
    <w:semiHidden/>
    <w:unhideWhenUsed/>
    <w:rsid w:val="00BE28F6"/>
    <w:pPr>
      <w:spacing w:after="120"/>
      <w:ind w:left="283"/>
      <w:contextualSpacing/>
    </w:pPr>
  </w:style>
  <w:style w:type="paragraph" w:styleId="ListContinue2">
    <w:name w:val="List Continue 2"/>
    <w:basedOn w:val="Normal"/>
    <w:uiPriority w:val="99"/>
    <w:semiHidden/>
    <w:unhideWhenUsed/>
    <w:rsid w:val="00BE28F6"/>
    <w:pPr>
      <w:spacing w:after="120"/>
      <w:ind w:left="566"/>
      <w:contextualSpacing/>
    </w:pPr>
  </w:style>
  <w:style w:type="paragraph" w:styleId="ListContinue3">
    <w:name w:val="List Continue 3"/>
    <w:basedOn w:val="Normal"/>
    <w:uiPriority w:val="99"/>
    <w:semiHidden/>
    <w:unhideWhenUsed/>
    <w:rsid w:val="00BE28F6"/>
    <w:pPr>
      <w:spacing w:after="120"/>
      <w:ind w:left="849"/>
      <w:contextualSpacing/>
    </w:pPr>
  </w:style>
  <w:style w:type="paragraph" w:styleId="ListContinue4">
    <w:name w:val="List Continue 4"/>
    <w:basedOn w:val="Normal"/>
    <w:uiPriority w:val="99"/>
    <w:semiHidden/>
    <w:unhideWhenUsed/>
    <w:rsid w:val="00BE28F6"/>
    <w:pPr>
      <w:spacing w:after="120"/>
      <w:ind w:left="1132"/>
      <w:contextualSpacing/>
    </w:pPr>
  </w:style>
  <w:style w:type="paragraph" w:styleId="ListContinue5">
    <w:name w:val="List Continue 5"/>
    <w:basedOn w:val="Normal"/>
    <w:uiPriority w:val="99"/>
    <w:semiHidden/>
    <w:unhideWhenUsed/>
    <w:rsid w:val="00BE28F6"/>
    <w:pPr>
      <w:spacing w:after="120"/>
      <w:ind w:left="1415"/>
      <w:contextualSpacing/>
    </w:pPr>
  </w:style>
  <w:style w:type="paragraph" w:styleId="ListNumber">
    <w:name w:val="List Number"/>
    <w:basedOn w:val="Normal"/>
    <w:uiPriority w:val="99"/>
    <w:semiHidden/>
    <w:unhideWhenUsed/>
    <w:rsid w:val="00BE28F6"/>
    <w:pPr>
      <w:numPr>
        <w:numId w:val="7"/>
      </w:numPr>
      <w:contextualSpacing/>
    </w:pPr>
  </w:style>
  <w:style w:type="paragraph" w:styleId="ListNumber2">
    <w:name w:val="List Number 2"/>
    <w:basedOn w:val="Normal"/>
    <w:uiPriority w:val="99"/>
    <w:semiHidden/>
    <w:unhideWhenUsed/>
    <w:rsid w:val="00BE28F6"/>
    <w:pPr>
      <w:numPr>
        <w:numId w:val="8"/>
      </w:numPr>
      <w:contextualSpacing/>
    </w:pPr>
  </w:style>
  <w:style w:type="paragraph" w:styleId="ListNumber3">
    <w:name w:val="List Number 3"/>
    <w:basedOn w:val="Normal"/>
    <w:uiPriority w:val="99"/>
    <w:semiHidden/>
    <w:unhideWhenUsed/>
    <w:rsid w:val="00BE28F6"/>
    <w:pPr>
      <w:numPr>
        <w:numId w:val="9"/>
      </w:numPr>
      <w:contextualSpacing/>
    </w:pPr>
  </w:style>
  <w:style w:type="paragraph" w:styleId="ListNumber4">
    <w:name w:val="List Number 4"/>
    <w:basedOn w:val="Normal"/>
    <w:uiPriority w:val="99"/>
    <w:semiHidden/>
    <w:unhideWhenUsed/>
    <w:rsid w:val="00BE28F6"/>
    <w:pPr>
      <w:numPr>
        <w:numId w:val="10"/>
      </w:numPr>
      <w:contextualSpacing/>
    </w:pPr>
  </w:style>
  <w:style w:type="paragraph" w:styleId="ListNumber5">
    <w:name w:val="List Number 5"/>
    <w:basedOn w:val="Normal"/>
    <w:uiPriority w:val="99"/>
    <w:semiHidden/>
    <w:unhideWhenUsed/>
    <w:rsid w:val="00BE28F6"/>
    <w:pPr>
      <w:numPr>
        <w:numId w:val="11"/>
      </w:numPr>
      <w:contextualSpacing/>
    </w:pPr>
  </w:style>
  <w:style w:type="table" w:styleId="ListTable1Light">
    <w:name w:val="List Table 1 Light"/>
    <w:basedOn w:val="TableNormal"/>
    <w:uiPriority w:val="46"/>
    <w:rsid w:val="00BE28F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BE28F6"/>
    <w:pPr>
      <w:spacing w:after="0" w:line="240" w:lineRule="auto"/>
    </w:pPr>
    <w:tblPr>
      <w:tblStyleRowBandSize w:val="1"/>
      <w:tblStyleColBandSize w:val="1"/>
    </w:tblPr>
    <w:tblStylePr w:type="firstRow">
      <w:rPr>
        <w:b/>
        <w:bCs/>
      </w:rPr>
      <w:tblPr/>
      <w:tcPr>
        <w:tcBorders>
          <w:bottom w:val="single" w:sz="4" w:space="0" w:color="1885D1" w:themeColor="accent1" w:themeTint="99"/>
        </w:tcBorders>
      </w:tcPr>
    </w:tblStylePr>
    <w:tblStylePr w:type="lastRow">
      <w:rPr>
        <w:b/>
        <w:bCs/>
      </w:rPr>
      <w:tblPr/>
      <w:tcPr>
        <w:tcBorders>
          <w:top w:val="single" w:sz="4" w:space="0" w:color="1885D1" w:themeColor="accent1" w:themeTint="99"/>
        </w:tcBorders>
      </w:tcPr>
    </w:tblStylePr>
    <w:tblStylePr w:type="firstCol">
      <w:rPr>
        <w:b/>
        <w:bCs/>
      </w:rPr>
    </w:tblStylePr>
    <w:tblStylePr w:type="lastCol">
      <w:rPr>
        <w:b/>
        <w:bCs/>
      </w:rPr>
    </w:tblStylePr>
    <w:tblStylePr w:type="band1Vert">
      <w:tblPr/>
      <w:tcPr>
        <w:shd w:val="clear" w:color="auto" w:fill="ACD7F5" w:themeFill="accent1" w:themeFillTint="33"/>
      </w:tcPr>
    </w:tblStylePr>
    <w:tblStylePr w:type="band1Horz">
      <w:tblPr/>
      <w:tcPr>
        <w:shd w:val="clear" w:color="auto" w:fill="ACD7F5" w:themeFill="accent1" w:themeFillTint="33"/>
      </w:tcPr>
    </w:tblStylePr>
  </w:style>
  <w:style w:type="table" w:styleId="ListTable1Light-Accent2">
    <w:name w:val="List Table 1 Light Accent 2"/>
    <w:basedOn w:val="TableNormal"/>
    <w:uiPriority w:val="46"/>
    <w:rsid w:val="00BE28F6"/>
    <w:pPr>
      <w:spacing w:after="0" w:line="240" w:lineRule="auto"/>
    </w:pPr>
    <w:tblPr>
      <w:tblStyleRowBandSize w:val="1"/>
      <w:tblStyleColBandSize w:val="1"/>
    </w:tblPr>
    <w:tblStylePr w:type="firstRow">
      <w:rPr>
        <w:b/>
        <w:bCs/>
      </w:rPr>
      <w:tblPr/>
      <w:tcPr>
        <w:tcBorders>
          <w:bottom w:val="single" w:sz="4" w:space="0" w:color="5FCDFF" w:themeColor="accent2" w:themeTint="99"/>
        </w:tcBorders>
      </w:tcPr>
    </w:tblStylePr>
    <w:tblStylePr w:type="lastRow">
      <w:rPr>
        <w:b/>
        <w:bCs/>
      </w:rPr>
      <w:tblPr/>
      <w:tcPr>
        <w:tcBorders>
          <w:top w:val="single" w:sz="4" w:space="0" w:color="5FCDFF" w:themeColor="accent2" w:themeTint="99"/>
        </w:tcBorders>
      </w:tcPr>
    </w:tblStylePr>
    <w:tblStylePr w:type="firstCol">
      <w:rPr>
        <w:b/>
        <w:bCs/>
      </w:rPr>
    </w:tblStylePr>
    <w:tblStylePr w:type="lastCol">
      <w:rPr>
        <w:b/>
        <w:bCs/>
      </w:rPr>
    </w:tblStylePr>
    <w:tblStylePr w:type="band1Vert">
      <w:tblPr/>
      <w:tcPr>
        <w:shd w:val="clear" w:color="auto" w:fill="C9EEFF" w:themeFill="accent2" w:themeFillTint="33"/>
      </w:tcPr>
    </w:tblStylePr>
    <w:tblStylePr w:type="band1Horz">
      <w:tblPr/>
      <w:tcPr>
        <w:shd w:val="clear" w:color="auto" w:fill="C9EEFF" w:themeFill="accent2" w:themeFillTint="33"/>
      </w:tcPr>
    </w:tblStylePr>
  </w:style>
  <w:style w:type="table" w:styleId="ListTable1Light-Accent3">
    <w:name w:val="List Table 1 Light Accent 3"/>
    <w:basedOn w:val="TableNormal"/>
    <w:uiPriority w:val="46"/>
    <w:rsid w:val="00BE28F6"/>
    <w:pPr>
      <w:spacing w:after="0" w:line="240" w:lineRule="auto"/>
    </w:pPr>
    <w:tblPr>
      <w:tblStyleRowBandSize w:val="1"/>
      <w:tblStyleColBandSize w:val="1"/>
    </w:tblPr>
    <w:tblStylePr w:type="firstRow">
      <w:rPr>
        <w:b/>
        <w:bCs/>
      </w:rPr>
      <w:tblPr/>
      <w:tcPr>
        <w:tcBorders>
          <w:bottom w:val="single" w:sz="4" w:space="0" w:color="7A96FF" w:themeColor="accent3" w:themeTint="99"/>
        </w:tcBorders>
      </w:tcPr>
    </w:tblStylePr>
    <w:tblStylePr w:type="lastRow">
      <w:rPr>
        <w:b/>
        <w:bCs/>
      </w:rPr>
      <w:tblPr/>
      <w:tcPr>
        <w:tcBorders>
          <w:top w:val="single" w:sz="4" w:space="0" w:color="7A96FF" w:themeColor="accent3" w:themeTint="99"/>
        </w:tcBorders>
      </w:tcPr>
    </w:tblStylePr>
    <w:tblStylePr w:type="firstCol">
      <w:rPr>
        <w:b/>
        <w:bCs/>
      </w:rPr>
    </w:tblStylePr>
    <w:tblStylePr w:type="lastCol">
      <w:rPr>
        <w:b/>
        <w:bCs/>
      </w:rPr>
    </w:tblStylePr>
    <w:tblStylePr w:type="band1Vert">
      <w:tblPr/>
      <w:tcPr>
        <w:shd w:val="clear" w:color="auto" w:fill="D2DCFF" w:themeFill="accent3" w:themeFillTint="33"/>
      </w:tcPr>
    </w:tblStylePr>
    <w:tblStylePr w:type="band1Horz">
      <w:tblPr/>
      <w:tcPr>
        <w:shd w:val="clear" w:color="auto" w:fill="D2DCFF" w:themeFill="accent3" w:themeFillTint="33"/>
      </w:tcPr>
    </w:tblStylePr>
  </w:style>
  <w:style w:type="table" w:styleId="ListTable1Light-Accent4">
    <w:name w:val="List Table 1 Light Accent 4"/>
    <w:basedOn w:val="TableNormal"/>
    <w:uiPriority w:val="46"/>
    <w:rsid w:val="00BE28F6"/>
    <w:pPr>
      <w:spacing w:after="0" w:line="240" w:lineRule="auto"/>
    </w:pPr>
    <w:tblPr>
      <w:tblStyleRowBandSize w:val="1"/>
      <w:tblStyleColBandSize w:val="1"/>
    </w:tblPr>
    <w:tblStylePr w:type="firstRow">
      <w:rPr>
        <w:b/>
        <w:bCs/>
      </w:rPr>
      <w:tblPr/>
      <w:tcPr>
        <w:tcBorders>
          <w:bottom w:val="single" w:sz="4" w:space="0" w:color="CCEFF6" w:themeColor="accent4" w:themeTint="99"/>
        </w:tcBorders>
      </w:tcPr>
    </w:tblStylePr>
    <w:tblStylePr w:type="lastRow">
      <w:rPr>
        <w:b/>
        <w:bCs/>
      </w:rPr>
      <w:tblPr/>
      <w:tcPr>
        <w:tcBorders>
          <w:top w:val="single" w:sz="4" w:space="0" w:color="CCEFF6" w:themeColor="accent4" w:themeTint="99"/>
        </w:tcBorders>
      </w:tcPr>
    </w:tblStylePr>
    <w:tblStylePr w:type="firstCol">
      <w:rPr>
        <w:b/>
        <w:bCs/>
      </w:rPr>
    </w:tblStylePr>
    <w:tblStylePr w:type="lastCol">
      <w:rPr>
        <w:b/>
        <w:bCs/>
      </w:rPr>
    </w:tblStylePr>
    <w:tblStylePr w:type="band1Vert">
      <w:tblPr/>
      <w:tcPr>
        <w:shd w:val="clear" w:color="auto" w:fill="EEF9FC" w:themeFill="accent4" w:themeFillTint="33"/>
      </w:tcPr>
    </w:tblStylePr>
    <w:tblStylePr w:type="band1Horz">
      <w:tblPr/>
      <w:tcPr>
        <w:shd w:val="clear" w:color="auto" w:fill="EEF9FC" w:themeFill="accent4" w:themeFillTint="33"/>
      </w:tcPr>
    </w:tblStylePr>
  </w:style>
  <w:style w:type="table" w:styleId="ListTable1Light-Accent5">
    <w:name w:val="List Table 1 Light Accent 5"/>
    <w:basedOn w:val="TableNormal"/>
    <w:uiPriority w:val="46"/>
    <w:rsid w:val="00BE28F6"/>
    <w:pPr>
      <w:spacing w:after="0" w:line="240" w:lineRule="auto"/>
    </w:pPr>
    <w:tblPr>
      <w:tblStyleRowBandSize w:val="1"/>
      <w:tblStyleColBandSize w:val="1"/>
    </w:tblPr>
    <w:tblStylePr w:type="firstRow">
      <w:rPr>
        <w:b/>
        <w:bCs/>
      </w:rPr>
      <w:tblPr/>
      <w:tcPr>
        <w:tcBorders>
          <w:bottom w:val="single" w:sz="4" w:space="0" w:color="85C2D6" w:themeColor="accent5" w:themeTint="99"/>
        </w:tcBorders>
      </w:tcPr>
    </w:tblStylePr>
    <w:tblStylePr w:type="lastRow">
      <w:rPr>
        <w:b/>
        <w:bCs/>
      </w:rPr>
      <w:tblPr/>
      <w:tcPr>
        <w:tcBorders>
          <w:top w:val="single" w:sz="4" w:space="0" w:color="85C2D6" w:themeColor="accent5" w:themeTint="99"/>
        </w:tcBorders>
      </w:tcPr>
    </w:tblStylePr>
    <w:tblStylePr w:type="firstCol">
      <w:rPr>
        <w:b/>
        <w:bCs/>
      </w:rPr>
    </w:tblStylePr>
    <w:tblStylePr w:type="lastCol">
      <w:rPr>
        <w:b/>
        <w:bCs/>
      </w:rPr>
    </w:tblStylePr>
    <w:tblStylePr w:type="band1Vert">
      <w:tblPr/>
      <w:tcPr>
        <w:shd w:val="clear" w:color="auto" w:fill="D6EAF1" w:themeFill="accent5" w:themeFillTint="33"/>
      </w:tcPr>
    </w:tblStylePr>
    <w:tblStylePr w:type="band1Horz">
      <w:tblPr/>
      <w:tcPr>
        <w:shd w:val="clear" w:color="auto" w:fill="D6EAF1" w:themeFill="accent5" w:themeFillTint="33"/>
      </w:tcPr>
    </w:tblStylePr>
  </w:style>
  <w:style w:type="table" w:styleId="ListTable1Light-Accent6">
    <w:name w:val="List Table 1 Light Accent 6"/>
    <w:basedOn w:val="TableNormal"/>
    <w:uiPriority w:val="46"/>
    <w:rsid w:val="00BE28F6"/>
    <w:pPr>
      <w:spacing w:after="0" w:line="240" w:lineRule="auto"/>
    </w:pPr>
    <w:tblPr>
      <w:tblStyleRowBandSize w:val="1"/>
      <w:tblStyleColBandSize w:val="1"/>
    </w:tblPr>
    <w:tblStylePr w:type="firstRow">
      <w:rPr>
        <w:b/>
        <w:bCs/>
      </w:rPr>
      <w:tblPr/>
      <w:tcPr>
        <w:tcBorders>
          <w:bottom w:val="single" w:sz="4" w:space="0" w:color="CFDAFF" w:themeColor="accent6" w:themeTint="99"/>
        </w:tcBorders>
      </w:tcPr>
    </w:tblStylePr>
    <w:tblStylePr w:type="lastRow">
      <w:rPr>
        <w:b/>
        <w:bCs/>
      </w:rPr>
      <w:tblPr/>
      <w:tcPr>
        <w:tcBorders>
          <w:top w:val="single" w:sz="4" w:space="0" w:color="CFDAFF" w:themeColor="accent6" w:themeTint="99"/>
        </w:tcBorders>
      </w:tcPr>
    </w:tblStylePr>
    <w:tblStylePr w:type="firstCol">
      <w:rPr>
        <w:b/>
        <w:bCs/>
      </w:rPr>
    </w:tblStylePr>
    <w:tblStylePr w:type="lastCol">
      <w:rPr>
        <w:b/>
        <w:bCs/>
      </w:rPr>
    </w:tblStylePr>
    <w:tblStylePr w:type="band1Vert">
      <w:tblPr/>
      <w:tcPr>
        <w:shd w:val="clear" w:color="auto" w:fill="EFF2FF" w:themeFill="accent6" w:themeFillTint="33"/>
      </w:tcPr>
    </w:tblStylePr>
    <w:tblStylePr w:type="band1Horz">
      <w:tblPr/>
      <w:tcPr>
        <w:shd w:val="clear" w:color="auto" w:fill="EFF2FF" w:themeFill="accent6" w:themeFillTint="33"/>
      </w:tcPr>
    </w:tblStylePr>
  </w:style>
  <w:style w:type="table" w:styleId="ListTable2">
    <w:name w:val="List Table 2"/>
    <w:basedOn w:val="TableNormal"/>
    <w:uiPriority w:val="47"/>
    <w:rsid w:val="00BE28F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BE28F6"/>
    <w:pPr>
      <w:spacing w:after="0" w:line="240" w:lineRule="auto"/>
    </w:pPr>
    <w:tblPr>
      <w:tblStyleRowBandSize w:val="1"/>
      <w:tblStyleColBandSize w:val="1"/>
      <w:tblBorders>
        <w:top w:val="single" w:sz="4" w:space="0" w:color="1885D1" w:themeColor="accent1" w:themeTint="99"/>
        <w:bottom w:val="single" w:sz="4" w:space="0" w:color="1885D1" w:themeColor="accent1" w:themeTint="99"/>
        <w:insideH w:val="single" w:sz="4" w:space="0" w:color="1885D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D7F5" w:themeFill="accent1" w:themeFillTint="33"/>
      </w:tcPr>
    </w:tblStylePr>
    <w:tblStylePr w:type="band1Horz">
      <w:tblPr/>
      <w:tcPr>
        <w:shd w:val="clear" w:color="auto" w:fill="ACD7F5" w:themeFill="accent1" w:themeFillTint="33"/>
      </w:tcPr>
    </w:tblStylePr>
  </w:style>
  <w:style w:type="table" w:styleId="ListTable2-Accent2">
    <w:name w:val="List Table 2 Accent 2"/>
    <w:basedOn w:val="TableNormal"/>
    <w:uiPriority w:val="47"/>
    <w:rsid w:val="00BE28F6"/>
    <w:pPr>
      <w:spacing w:after="0" w:line="240" w:lineRule="auto"/>
    </w:pPr>
    <w:tblPr>
      <w:tblStyleRowBandSize w:val="1"/>
      <w:tblStyleColBandSize w:val="1"/>
      <w:tblBorders>
        <w:top w:val="single" w:sz="4" w:space="0" w:color="5FCDFF" w:themeColor="accent2" w:themeTint="99"/>
        <w:bottom w:val="single" w:sz="4" w:space="0" w:color="5FCDFF" w:themeColor="accent2" w:themeTint="99"/>
        <w:insideH w:val="single" w:sz="4" w:space="0" w:color="5FCD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EEFF" w:themeFill="accent2" w:themeFillTint="33"/>
      </w:tcPr>
    </w:tblStylePr>
    <w:tblStylePr w:type="band1Horz">
      <w:tblPr/>
      <w:tcPr>
        <w:shd w:val="clear" w:color="auto" w:fill="C9EEFF" w:themeFill="accent2" w:themeFillTint="33"/>
      </w:tcPr>
    </w:tblStylePr>
  </w:style>
  <w:style w:type="table" w:styleId="ListTable2-Accent3">
    <w:name w:val="List Table 2 Accent 3"/>
    <w:basedOn w:val="TableNormal"/>
    <w:uiPriority w:val="47"/>
    <w:rsid w:val="00BE28F6"/>
    <w:pPr>
      <w:spacing w:after="0" w:line="240" w:lineRule="auto"/>
    </w:pPr>
    <w:tblPr>
      <w:tblStyleRowBandSize w:val="1"/>
      <w:tblStyleColBandSize w:val="1"/>
      <w:tblBorders>
        <w:top w:val="single" w:sz="4" w:space="0" w:color="7A96FF" w:themeColor="accent3" w:themeTint="99"/>
        <w:bottom w:val="single" w:sz="4" w:space="0" w:color="7A96FF" w:themeColor="accent3" w:themeTint="99"/>
        <w:insideH w:val="single" w:sz="4" w:space="0" w:color="7A96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CFF" w:themeFill="accent3" w:themeFillTint="33"/>
      </w:tcPr>
    </w:tblStylePr>
    <w:tblStylePr w:type="band1Horz">
      <w:tblPr/>
      <w:tcPr>
        <w:shd w:val="clear" w:color="auto" w:fill="D2DCFF" w:themeFill="accent3" w:themeFillTint="33"/>
      </w:tcPr>
    </w:tblStylePr>
  </w:style>
  <w:style w:type="table" w:styleId="ListTable2-Accent4">
    <w:name w:val="List Table 2 Accent 4"/>
    <w:basedOn w:val="TableNormal"/>
    <w:uiPriority w:val="47"/>
    <w:rsid w:val="00BE28F6"/>
    <w:pPr>
      <w:spacing w:after="0" w:line="240" w:lineRule="auto"/>
    </w:pPr>
    <w:tblPr>
      <w:tblStyleRowBandSize w:val="1"/>
      <w:tblStyleColBandSize w:val="1"/>
      <w:tblBorders>
        <w:top w:val="single" w:sz="4" w:space="0" w:color="CCEFF6" w:themeColor="accent4" w:themeTint="99"/>
        <w:bottom w:val="single" w:sz="4" w:space="0" w:color="CCEFF6" w:themeColor="accent4" w:themeTint="99"/>
        <w:insideH w:val="single" w:sz="4" w:space="0" w:color="CCEFF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9FC" w:themeFill="accent4" w:themeFillTint="33"/>
      </w:tcPr>
    </w:tblStylePr>
    <w:tblStylePr w:type="band1Horz">
      <w:tblPr/>
      <w:tcPr>
        <w:shd w:val="clear" w:color="auto" w:fill="EEF9FC" w:themeFill="accent4" w:themeFillTint="33"/>
      </w:tcPr>
    </w:tblStylePr>
  </w:style>
  <w:style w:type="table" w:styleId="ListTable2-Accent5">
    <w:name w:val="List Table 2 Accent 5"/>
    <w:basedOn w:val="TableNormal"/>
    <w:uiPriority w:val="47"/>
    <w:rsid w:val="00BE28F6"/>
    <w:pPr>
      <w:spacing w:after="0" w:line="240" w:lineRule="auto"/>
    </w:pPr>
    <w:tblPr>
      <w:tblStyleRowBandSize w:val="1"/>
      <w:tblStyleColBandSize w:val="1"/>
      <w:tblBorders>
        <w:top w:val="single" w:sz="4" w:space="0" w:color="85C2D6" w:themeColor="accent5" w:themeTint="99"/>
        <w:bottom w:val="single" w:sz="4" w:space="0" w:color="85C2D6" w:themeColor="accent5" w:themeTint="99"/>
        <w:insideH w:val="single" w:sz="4" w:space="0" w:color="85C2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AF1" w:themeFill="accent5" w:themeFillTint="33"/>
      </w:tcPr>
    </w:tblStylePr>
    <w:tblStylePr w:type="band1Horz">
      <w:tblPr/>
      <w:tcPr>
        <w:shd w:val="clear" w:color="auto" w:fill="D6EAF1" w:themeFill="accent5" w:themeFillTint="33"/>
      </w:tcPr>
    </w:tblStylePr>
  </w:style>
  <w:style w:type="table" w:styleId="ListTable2-Accent6">
    <w:name w:val="List Table 2 Accent 6"/>
    <w:basedOn w:val="TableNormal"/>
    <w:uiPriority w:val="47"/>
    <w:rsid w:val="00BE28F6"/>
    <w:pPr>
      <w:spacing w:after="0" w:line="240" w:lineRule="auto"/>
    </w:pPr>
    <w:tblPr>
      <w:tblStyleRowBandSize w:val="1"/>
      <w:tblStyleColBandSize w:val="1"/>
      <w:tblBorders>
        <w:top w:val="single" w:sz="4" w:space="0" w:color="CFDAFF" w:themeColor="accent6" w:themeTint="99"/>
        <w:bottom w:val="single" w:sz="4" w:space="0" w:color="CFDAFF" w:themeColor="accent6" w:themeTint="99"/>
        <w:insideH w:val="single" w:sz="4" w:space="0" w:color="CFDA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2FF" w:themeFill="accent6" w:themeFillTint="33"/>
      </w:tcPr>
    </w:tblStylePr>
    <w:tblStylePr w:type="band1Horz">
      <w:tblPr/>
      <w:tcPr>
        <w:shd w:val="clear" w:color="auto" w:fill="EFF2FF" w:themeFill="accent6" w:themeFillTint="33"/>
      </w:tcPr>
    </w:tblStylePr>
  </w:style>
  <w:style w:type="table" w:styleId="ListTable3">
    <w:name w:val="List Table 3"/>
    <w:basedOn w:val="TableNormal"/>
    <w:uiPriority w:val="48"/>
    <w:rsid w:val="00BE28F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BE28F6"/>
    <w:pPr>
      <w:spacing w:after="0" w:line="240" w:lineRule="auto"/>
    </w:pPr>
    <w:tblPr>
      <w:tblStyleRowBandSize w:val="1"/>
      <w:tblStyleColBandSize w:val="1"/>
      <w:tblBorders>
        <w:top w:val="single" w:sz="4" w:space="0" w:color="051C2C" w:themeColor="accent1"/>
        <w:left w:val="single" w:sz="4" w:space="0" w:color="051C2C" w:themeColor="accent1"/>
        <w:bottom w:val="single" w:sz="4" w:space="0" w:color="051C2C" w:themeColor="accent1"/>
        <w:right w:val="single" w:sz="4" w:space="0" w:color="051C2C" w:themeColor="accent1"/>
      </w:tblBorders>
    </w:tblPr>
    <w:tblStylePr w:type="firstRow">
      <w:rPr>
        <w:b/>
        <w:bCs/>
        <w:color w:val="FFFFFF" w:themeColor="background1"/>
      </w:rPr>
      <w:tblPr/>
      <w:tcPr>
        <w:shd w:val="clear" w:color="auto" w:fill="051C2C" w:themeFill="accent1"/>
      </w:tcPr>
    </w:tblStylePr>
    <w:tblStylePr w:type="lastRow">
      <w:rPr>
        <w:b/>
        <w:bCs/>
      </w:rPr>
      <w:tblPr/>
      <w:tcPr>
        <w:tcBorders>
          <w:top w:val="double" w:sz="4" w:space="0" w:color="051C2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51C2C" w:themeColor="accent1"/>
          <w:right w:val="single" w:sz="4" w:space="0" w:color="051C2C" w:themeColor="accent1"/>
        </w:tcBorders>
      </w:tcPr>
    </w:tblStylePr>
    <w:tblStylePr w:type="band1Horz">
      <w:tblPr/>
      <w:tcPr>
        <w:tcBorders>
          <w:top w:val="single" w:sz="4" w:space="0" w:color="051C2C" w:themeColor="accent1"/>
          <w:bottom w:val="single" w:sz="4" w:space="0" w:color="051C2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1C2C" w:themeColor="accent1"/>
          <w:left w:val="nil"/>
        </w:tcBorders>
      </w:tcPr>
    </w:tblStylePr>
    <w:tblStylePr w:type="swCell">
      <w:tblPr/>
      <w:tcPr>
        <w:tcBorders>
          <w:top w:val="double" w:sz="4" w:space="0" w:color="051C2C" w:themeColor="accent1"/>
          <w:right w:val="nil"/>
        </w:tcBorders>
      </w:tcPr>
    </w:tblStylePr>
  </w:style>
  <w:style w:type="table" w:styleId="ListTable3-Accent2">
    <w:name w:val="List Table 3 Accent 2"/>
    <w:basedOn w:val="TableNormal"/>
    <w:uiPriority w:val="48"/>
    <w:rsid w:val="00BE28F6"/>
    <w:pPr>
      <w:spacing w:after="0" w:line="240" w:lineRule="auto"/>
    </w:pPr>
    <w:tblPr>
      <w:tblStyleRowBandSize w:val="1"/>
      <w:tblStyleColBandSize w:val="1"/>
      <w:tblBorders>
        <w:top w:val="single" w:sz="4" w:space="0" w:color="00A9F4" w:themeColor="accent2"/>
        <w:left w:val="single" w:sz="4" w:space="0" w:color="00A9F4" w:themeColor="accent2"/>
        <w:bottom w:val="single" w:sz="4" w:space="0" w:color="00A9F4" w:themeColor="accent2"/>
        <w:right w:val="single" w:sz="4" w:space="0" w:color="00A9F4" w:themeColor="accent2"/>
      </w:tblBorders>
    </w:tblPr>
    <w:tblStylePr w:type="firstRow">
      <w:rPr>
        <w:b/>
        <w:bCs/>
        <w:color w:val="FFFFFF" w:themeColor="background1"/>
      </w:rPr>
      <w:tblPr/>
      <w:tcPr>
        <w:shd w:val="clear" w:color="auto" w:fill="00A9F4" w:themeFill="accent2"/>
      </w:tcPr>
    </w:tblStylePr>
    <w:tblStylePr w:type="lastRow">
      <w:rPr>
        <w:b/>
        <w:bCs/>
      </w:rPr>
      <w:tblPr/>
      <w:tcPr>
        <w:tcBorders>
          <w:top w:val="double" w:sz="4" w:space="0" w:color="00A9F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F4" w:themeColor="accent2"/>
          <w:right w:val="single" w:sz="4" w:space="0" w:color="00A9F4" w:themeColor="accent2"/>
        </w:tcBorders>
      </w:tcPr>
    </w:tblStylePr>
    <w:tblStylePr w:type="band1Horz">
      <w:tblPr/>
      <w:tcPr>
        <w:tcBorders>
          <w:top w:val="single" w:sz="4" w:space="0" w:color="00A9F4" w:themeColor="accent2"/>
          <w:bottom w:val="single" w:sz="4" w:space="0" w:color="00A9F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F4" w:themeColor="accent2"/>
          <w:left w:val="nil"/>
        </w:tcBorders>
      </w:tcPr>
    </w:tblStylePr>
    <w:tblStylePr w:type="swCell">
      <w:tblPr/>
      <w:tcPr>
        <w:tcBorders>
          <w:top w:val="double" w:sz="4" w:space="0" w:color="00A9F4" w:themeColor="accent2"/>
          <w:right w:val="nil"/>
        </w:tcBorders>
      </w:tcPr>
    </w:tblStylePr>
  </w:style>
  <w:style w:type="table" w:styleId="ListTable3-Accent3">
    <w:name w:val="List Table 3 Accent 3"/>
    <w:basedOn w:val="TableNormal"/>
    <w:uiPriority w:val="48"/>
    <w:rsid w:val="00BE28F6"/>
    <w:pPr>
      <w:spacing w:after="0" w:line="240" w:lineRule="auto"/>
    </w:pPr>
    <w:tblPr>
      <w:tblStyleRowBandSize w:val="1"/>
      <w:tblStyleColBandSize w:val="1"/>
      <w:tblBorders>
        <w:top w:val="single" w:sz="4" w:space="0" w:color="2251FF" w:themeColor="accent3"/>
        <w:left w:val="single" w:sz="4" w:space="0" w:color="2251FF" w:themeColor="accent3"/>
        <w:bottom w:val="single" w:sz="4" w:space="0" w:color="2251FF" w:themeColor="accent3"/>
        <w:right w:val="single" w:sz="4" w:space="0" w:color="2251FF" w:themeColor="accent3"/>
      </w:tblBorders>
    </w:tblPr>
    <w:tblStylePr w:type="firstRow">
      <w:rPr>
        <w:b/>
        <w:bCs/>
        <w:color w:val="FFFFFF" w:themeColor="background1"/>
      </w:rPr>
      <w:tblPr/>
      <w:tcPr>
        <w:shd w:val="clear" w:color="auto" w:fill="2251FF" w:themeFill="accent3"/>
      </w:tcPr>
    </w:tblStylePr>
    <w:tblStylePr w:type="lastRow">
      <w:rPr>
        <w:b/>
        <w:bCs/>
      </w:rPr>
      <w:tblPr/>
      <w:tcPr>
        <w:tcBorders>
          <w:top w:val="double" w:sz="4" w:space="0" w:color="2251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51FF" w:themeColor="accent3"/>
          <w:right w:val="single" w:sz="4" w:space="0" w:color="2251FF" w:themeColor="accent3"/>
        </w:tcBorders>
      </w:tcPr>
    </w:tblStylePr>
    <w:tblStylePr w:type="band1Horz">
      <w:tblPr/>
      <w:tcPr>
        <w:tcBorders>
          <w:top w:val="single" w:sz="4" w:space="0" w:color="2251FF" w:themeColor="accent3"/>
          <w:bottom w:val="single" w:sz="4" w:space="0" w:color="2251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51FF" w:themeColor="accent3"/>
          <w:left w:val="nil"/>
        </w:tcBorders>
      </w:tcPr>
    </w:tblStylePr>
    <w:tblStylePr w:type="swCell">
      <w:tblPr/>
      <w:tcPr>
        <w:tcBorders>
          <w:top w:val="double" w:sz="4" w:space="0" w:color="2251FF" w:themeColor="accent3"/>
          <w:right w:val="nil"/>
        </w:tcBorders>
      </w:tcPr>
    </w:tblStylePr>
  </w:style>
  <w:style w:type="table" w:styleId="ListTable3-Accent4">
    <w:name w:val="List Table 3 Accent 4"/>
    <w:basedOn w:val="TableNormal"/>
    <w:uiPriority w:val="48"/>
    <w:rsid w:val="00BE28F6"/>
    <w:pPr>
      <w:spacing w:after="0" w:line="240" w:lineRule="auto"/>
    </w:pPr>
    <w:tblPr>
      <w:tblStyleRowBandSize w:val="1"/>
      <w:tblStyleColBandSize w:val="1"/>
      <w:tblBorders>
        <w:top w:val="single" w:sz="4" w:space="0" w:color="AAE6F0" w:themeColor="accent4"/>
        <w:left w:val="single" w:sz="4" w:space="0" w:color="AAE6F0" w:themeColor="accent4"/>
        <w:bottom w:val="single" w:sz="4" w:space="0" w:color="AAE6F0" w:themeColor="accent4"/>
        <w:right w:val="single" w:sz="4" w:space="0" w:color="AAE6F0" w:themeColor="accent4"/>
      </w:tblBorders>
    </w:tblPr>
    <w:tblStylePr w:type="firstRow">
      <w:rPr>
        <w:b/>
        <w:bCs/>
        <w:color w:val="FFFFFF" w:themeColor="background1"/>
      </w:rPr>
      <w:tblPr/>
      <w:tcPr>
        <w:shd w:val="clear" w:color="auto" w:fill="AAE6F0" w:themeFill="accent4"/>
      </w:tcPr>
    </w:tblStylePr>
    <w:tblStylePr w:type="lastRow">
      <w:rPr>
        <w:b/>
        <w:bCs/>
      </w:rPr>
      <w:tblPr/>
      <w:tcPr>
        <w:tcBorders>
          <w:top w:val="double" w:sz="4" w:space="0" w:color="AAE6F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AE6F0" w:themeColor="accent4"/>
          <w:right w:val="single" w:sz="4" w:space="0" w:color="AAE6F0" w:themeColor="accent4"/>
        </w:tcBorders>
      </w:tcPr>
    </w:tblStylePr>
    <w:tblStylePr w:type="band1Horz">
      <w:tblPr/>
      <w:tcPr>
        <w:tcBorders>
          <w:top w:val="single" w:sz="4" w:space="0" w:color="AAE6F0" w:themeColor="accent4"/>
          <w:bottom w:val="single" w:sz="4" w:space="0" w:color="AAE6F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E6F0" w:themeColor="accent4"/>
          <w:left w:val="nil"/>
        </w:tcBorders>
      </w:tcPr>
    </w:tblStylePr>
    <w:tblStylePr w:type="swCell">
      <w:tblPr/>
      <w:tcPr>
        <w:tcBorders>
          <w:top w:val="double" w:sz="4" w:space="0" w:color="AAE6F0" w:themeColor="accent4"/>
          <w:right w:val="nil"/>
        </w:tcBorders>
      </w:tcPr>
    </w:tblStylePr>
  </w:style>
  <w:style w:type="table" w:styleId="ListTable3-Accent5">
    <w:name w:val="List Table 3 Accent 5"/>
    <w:basedOn w:val="TableNormal"/>
    <w:uiPriority w:val="48"/>
    <w:rsid w:val="00BE28F6"/>
    <w:pPr>
      <w:spacing w:after="0" w:line="240" w:lineRule="auto"/>
    </w:pPr>
    <w:tblPr>
      <w:tblStyleRowBandSize w:val="1"/>
      <w:tblStyleColBandSize w:val="1"/>
      <w:tblBorders>
        <w:top w:val="single" w:sz="4" w:space="0" w:color="3C96B4" w:themeColor="accent5"/>
        <w:left w:val="single" w:sz="4" w:space="0" w:color="3C96B4" w:themeColor="accent5"/>
        <w:bottom w:val="single" w:sz="4" w:space="0" w:color="3C96B4" w:themeColor="accent5"/>
        <w:right w:val="single" w:sz="4" w:space="0" w:color="3C96B4" w:themeColor="accent5"/>
      </w:tblBorders>
    </w:tblPr>
    <w:tblStylePr w:type="firstRow">
      <w:rPr>
        <w:b/>
        <w:bCs/>
        <w:color w:val="FFFFFF" w:themeColor="background1"/>
      </w:rPr>
      <w:tblPr/>
      <w:tcPr>
        <w:shd w:val="clear" w:color="auto" w:fill="3C96B4" w:themeFill="accent5"/>
      </w:tcPr>
    </w:tblStylePr>
    <w:tblStylePr w:type="lastRow">
      <w:rPr>
        <w:b/>
        <w:bCs/>
      </w:rPr>
      <w:tblPr/>
      <w:tcPr>
        <w:tcBorders>
          <w:top w:val="double" w:sz="4" w:space="0" w:color="3C96B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96B4" w:themeColor="accent5"/>
          <w:right w:val="single" w:sz="4" w:space="0" w:color="3C96B4" w:themeColor="accent5"/>
        </w:tcBorders>
      </w:tcPr>
    </w:tblStylePr>
    <w:tblStylePr w:type="band1Horz">
      <w:tblPr/>
      <w:tcPr>
        <w:tcBorders>
          <w:top w:val="single" w:sz="4" w:space="0" w:color="3C96B4" w:themeColor="accent5"/>
          <w:bottom w:val="single" w:sz="4" w:space="0" w:color="3C96B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96B4" w:themeColor="accent5"/>
          <w:left w:val="nil"/>
        </w:tcBorders>
      </w:tcPr>
    </w:tblStylePr>
    <w:tblStylePr w:type="swCell">
      <w:tblPr/>
      <w:tcPr>
        <w:tcBorders>
          <w:top w:val="double" w:sz="4" w:space="0" w:color="3C96B4" w:themeColor="accent5"/>
          <w:right w:val="nil"/>
        </w:tcBorders>
      </w:tcPr>
    </w:tblStylePr>
  </w:style>
  <w:style w:type="table" w:styleId="ListTable3-Accent6">
    <w:name w:val="List Table 3 Accent 6"/>
    <w:basedOn w:val="TableNormal"/>
    <w:uiPriority w:val="48"/>
    <w:rsid w:val="00BE28F6"/>
    <w:pPr>
      <w:spacing w:after="0" w:line="240" w:lineRule="auto"/>
    </w:pPr>
    <w:tblPr>
      <w:tblStyleRowBandSize w:val="1"/>
      <w:tblStyleColBandSize w:val="1"/>
      <w:tblBorders>
        <w:top w:val="single" w:sz="4" w:space="0" w:color="AFC3FF" w:themeColor="accent6"/>
        <w:left w:val="single" w:sz="4" w:space="0" w:color="AFC3FF" w:themeColor="accent6"/>
        <w:bottom w:val="single" w:sz="4" w:space="0" w:color="AFC3FF" w:themeColor="accent6"/>
        <w:right w:val="single" w:sz="4" w:space="0" w:color="AFC3FF" w:themeColor="accent6"/>
      </w:tblBorders>
    </w:tblPr>
    <w:tblStylePr w:type="firstRow">
      <w:rPr>
        <w:b/>
        <w:bCs/>
        <w:color w:val="FFFFFF" w:themeColor="background1"/>
      </w:rPr>
      <w:tblPr/>
      <w:tcPr>
        <w:shd w:val="clear" w:color="auto" w:fill="AFC3FF" w:themeFill="accent6"/>
      </w:tcPr>
    </w:tblStylePr>
    <w:tblStylePr w:type="lastRow">
      <w:rPr>
        <w:b/>
        <w:bCs/>
      </w:rPr>
      <w:tblPr/>
      <w:tcPr>
        <w:tcBorders>
          <w:top w:val="double" w:sz="4" w:space="0" w:color="AFC3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C3FF" w:themeColor="accent6"/>
          <w:right w:val="single" w:sz="4" w:space="0" w:color="AFC3FF" w:themeColor="accent6"/>
        </w:tcBorders>
      </w:tcPr>
    </w:tblStylePr>
    <w:tblStylePr w:type="band1Horz">
      <w:tblPr/>
      <w:tcPr>
        <w:tcBorders>
          <w:top w:val="single" w:sz="4" w:space="0" w:color="AFC3FF" w:themeColor="accent6"/>
          <w:bottom w:val="single" w:sz="4" w:space="0" w:color="AFC3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C3FF" w:themeColor="accent6"/>
          <w:left w:val="nil"/>
        </w:tcBorders>
      </w:tcPr>
    </w:tblStylePr>
    <w:tblStylePr w:type="swCell">
      <w:tblPr/>
      <w:tcPr>
        <w:tcBorders>
          <w:top w:val="double" w:sz="4" w:space="0" w:color="AFC3FF" w:themeColor="accent6"/>
          <w:right w:val="nil"/>
        </w:tcBorders>
      </w:tcPr>
    </w:tblStylePr>
  </w:style>
  <w:style w:type="table" w:styleId="ListTable4">
    <w:name w:val="List Table 4"/>
    <w:basedOn w:val="TableNormal"/>
    <w:uiPriority w:val="49"/>
    <w:rsid w:val="00BE28F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BE28F6"/>
    <w:pPr>
      <w:spacing w:after="0" w:line="240" w:lineRule="auto"/>
    </w:pPr>
    <w:tblPr>
      <w:tblStyleRowBandSize w:val="1"/>
      <w:tblStyleColBandSize w:val="1"/>
      <w:tblBorders>
        <w:top w:val="single" w:sz="4" w:space="0" w:color="1885D1" w:themeColor="accent1" w:themeTint="99"/>
        <w:left w:val="single" w:sz="4" w:space="0" w:color="1885D1" w:themeColor="accent1" w:themeTint="99"/>
        <w:bottom w:val="single" w:sz="4" w:space="0" w:color="1885D1" w:themeColor="accent1" w:themeTint="99"/>
        <w:right w:val="single" w:sz="4" w:space="0" w:color="1885D1" w:themeColor="accent1" w:themeTint="99"/>
        <w:insideH w:val="single" w:sz="4" w:space="0" w:color="1885D1" w:themeColor="accent1" w:themeTint="99"/>
      </w:tblBorders>
    </w:tblPr>
    <w:tblStylePr w:type="firstRow">
      <w:rPr>
        <w:b/>
        <w:bCs/>
        <w:color w:val="FFFFFF" w:themeColor="background1"/>
      </w:rPr>
      <w:tblPr/>
      <w:tcPr>
        <w:tcBorders>
          <w:top w:val="single" w:sz="4" w:space="0" w:color="051C2C" w:themeColor="accent1"/>
          <w:left w:val="single" w:sz="4" w:space="0" w:color="051C2C" w:themeColor="accent1"/>
          <w:bottom w:val="single" w:sz="4" w:space="0" w:color="051C2C" w:themeColor="accent1"/>
          <w:right w:val="single" w:sz="4" w:space="0" w:color="051C2C" w:themeColor="accent1"/>
          <w:insideH w:val="nil"/>
        </w:tcBorders>
        <w:shd w:val="clear" w:color="auto" w:fill="051C2C" w:themeFill="accent1"/>
      </w:tcPr>
    </w:tblStylePr>
    <w:tblStylePr w:type="lastRow">
      <w:rPr>
        <w:b/>
        <w:bCs/>
      </w:rPr>
      <w:tblPr/>
      <w:tcPr>
        <w:tcBorders>
          <w:top w:val="double" w:sz="4" w:space="0" w:color="1885D1" w:themeColor="accent1" w:themeTint="99"/>
        </w:tcBorders>
      </w:tcPr>
    </w:tblStylePr>
    <w:tblStylePr w:type="firstCol">
      <w:rPr>
        <w:b/>
        <w:bCs/>
      </w:rPr>
    </w:tblStylePr>
    <w:tblStylePr w:type="lastCol">
      <w:rPr>
        <w:b/>
        <w:bCs/>
      </w:rPr>
    </w:tblStylePr>
    <w:tblStylePr w:type="band1Vert">
      <w:tblPr/>
      <w:tcPr>
        <w:shd w:val="clear" w:color="auto" w:fill="ACD7F5" w:themeFill="accent1" w:themeFillTint="33"/>
      </w:tcPr>
    </w:tblStylePr>
    <w:tblStylePr w:type="band1Horz">
      <w:tblPr/>
      <w:tcPr>
        <w:shd w:val="clear" w:color="auto" w:fill="ACD7F5" w:themeFill="accent1" w:themeFillTint="33"/>
      </w:tcPr>
    </w:tblStylePr>
  </w:style>
  <w:style w:type="table" w:styleId="ListTable4-Accent2">
    <w:name w:val="List Table 4 Accent 2"/>
    <w:basedOn w:val="TableNormal"/>
    <w:uiPriority w:val="49"/>
    <w:rsid w:val="00BE28F6"/>
    <w:pPr>
      <w:spacing w:after="0" w:line="240" w:lineRule="auto"/>
    </w:pPr>
    <w:tblPr>
      <w:tblStyleRowBandSize w:val="1"/>
      <w:tblStyleColBandSize w:val="1"/>
      <w:tblBorders>
        <w:top w:val="single" w:sz="4" w:space="0" w:color="5FCDFF" w:themeColor="accent2" w:themeTint="99"/>
        <w:left w:val="single" w:sz="4" w:space="0" w:color="5FCDFF" w:themeColor="accent2" w:themeTint="99"/>
        <w:bottom w:val="single" w:sz="4" w:space="0" w:color="5FCDFF" w:themeColor="accent2" w:themeTint="99"/>
        <w:right w:val="single" w:sz="4" w:space="0" w:color="5FCDFF" w:themeColor="accent2" w:themeTint="99"/>
        <w:insideH w:val="single" w:sz="4" w:space="0" w:color="5FCDFF" w:themeColor="accent2" w:themeTint="99"/>
      </w:tblBorders>
    </w:tblPr>
    <w:tblStylePr w:type="firstRow">
      <w:rPr>
        <w:b/>
        <w:bCs/>
        <w:color w:val="FFFFFF" w:themeColor="background1"/>
      </w:rPr>
      <w:tblPr/>
      <w:tcPr>
        <w:tcBorders>
          <w:top w:val="single" w:sz="4" w:space="0" w:color="00A9F4" w:themeColor="accent2"/>
          <w:left w:val="single" w:sz="4" w:space="0" w:color="00A9F4" w:themeColor="accent2"/>
          <w:bottom w:val="single" w:sz="4" w:space="0" w:color="00A9F4" w:themeColor="accent2"/>
          <w:right w:val="single" w:sz="4" w:space="0" w:color="00A9F4" w:themeColor="accent2"/>
          <w:insideH w:val="nil"/>
        </w:tcBorders>
        <w:shd w:val="clear" w:color="auto" w:fill="00A9F4" w:themeFill="accent2"/>
      </w:tcPr>
    </w:tblStylePr>
    <w:tblStylePr w:type="lastRow">
      <w:rPr>
        <w:b/>
        <w:bCs/>
      </w:rPr>
      <w:tblPr/>
      <w:tcPr>
        <w:tcBorders>
          <w:top w:val="double" w:sz="4" w:space="0" w:color="5FCDFF" w:themeColor="accent2" w:themeTint="99"/>
        </w:tcBorders>
      </w:tcPr>
    </w:tblStylePr>
    <w:tblStylePr w:type="firstCol">
      <w:rPr>
        <w:b/>
        <w:bCs/>
      </w:rPr>
    </w:tblStylePr>
    <w:tblStylePr w:type="lastCol">
      <w:rPr>
        <w:b/>
        <w:bCs/>
      </w:rPr>
    </w:tblStylePr>
    <w:tblStylePr w:type="band1Vert">
      <w:tblPr/>
      <w:tcPr>
        <w:shd w:val="clear" w:color="auto" w:fill="C9EEFF" w:themeFill="accent2" w:themeFillTint="33"/>
      </w:tcPr>
    </w:tblStylePr>
    <w:tblStylePr w:type="band1Horz">
      <w:tblPr/>
      <w:tcPr>
        <w:shd w:val="clear" w:color="auto" w:fill="C9EEFF" w:themeFill="accent2" w:themeFillTint="33"/>
      </w:tcPr>
    </w:tblStylePr>
  </w:style>
  <w:style w:type="table" w:styleId="ListTable4-Accent3">
    <w:name w:val="List Table 4 Accent 3"/>
    <w:basedOn w:val="TableNormal"/>
    <w:uiPriority w:val="49"/>
    <w:rsid w:val="00BE28F6"/>
    <w:pPr>
      <w:spacing w:after="0" w:line="240" w:lineRule="auto"/>
    </w:pPr>
    <w:tblPr>
      <w:tblStyleRowBandSize w:val="1"/>
      <w:tblStyleColBandSize w:val="1"/>
      <w:tblBorders>
        <w:top w:val="single" w:sz="4" w:space="0" w:color="7A96FF" w:themeColor="accent3" w:themeTint="99"/>
        <w:left w:val="single" w:sz="4" w:space="0" w:color="7A96FF" w:themeColor="accent3" w:themeTint="99"/>
        <w:bottom w:val="single" w:sz="4" w:space="0" w:color="7A96FF" w:themeColor="accent3" w:themeTint="99"/>
        <w:right w:val="single" w:sz="4" w:space="0" w:color="7A96FF" w:themeColor="accent3" w:themeTint="99"/>
        <w:insideH w:val="single" w:sz="4" w:space="0" w:color="7A96FF" w:themeColor="accent3" w:themeTint="99"/>
      </w:tblBorders>
    </w:tblPr>
    <w:tblStylePr w:type="firstRow">
      <w:rPr>
        <w:b/>
        <w:bCs/>
        <w:color w:val="FFFFFF" w:themeColor="background1"/>
      </w:rPr>
      <w:tblPr/>
      <w:tcPr>
        <w:tcBorders>
          <w:top w:val="single" w:sz="4" w:space="0" w:color="2251FF" w:themeColor="accent3"/>
          <w:left w:val="single" w:sz="4" w:space="0" w:color="2251FF" w:themeColor="accent3"/>
          <w:bottom w:val="single" w:sz="4" w:space="0" w:color="2251FF" w:themeColor="accent3"/>
          <w:right w:val="single" w:sz="4" w:space="0" w:color="2251FF" w:themeColor="accent3"/>
          <w:insideH w:val="nil"/>
        </w:tcBorders>
        <w:shd w:val="clear" w:color="auto" w:fill="2251FF" w:themeFill="accent3"/>
      </w:tcPr>
    </w:tblStylePr>
    <w:tblStylePr w:type="lastRow">
      <w:rPr>
        <w:b/>
        <w:bCs/>
      </w:rPr>
      <w:tblPr/>
      <w:tcPr>
        <w:tcBorders>
          <w:top w:val="double" w:sz="4" w:space="0" w:color="7A96FF" w:themeColor="accent3" w:themeTint="99"/>
        </w:tcBorders>
      </w:tcPr>
    </w:tblStylePr>
    <w:tblStylePr w:type="firstCol">
      <w:rPr>
        <w:b/>
        <w:bCs/>
      </w:rPr>
    </w:tblStylePr>
    <w:tblStylePr w:type="lastCol">
      <w:rPr>
        <w:b/>
        <w:bCs/>
      </w:rPr>
    </w:tblStylePr>
    <w:tblStylePr w:type="band1Vert">
      <w:tblPr/>
      <w:tcPr>
        <w:shd w:val="clear" w:color="auto" w:fill="D2DCFF" w:themeFill="accent3" w:themeFillTint="33"/>
      </w:tcPr>
    </w:tblStylePr>
    <w:tblStylePr w:type="band1Horz">
      <w:tblPr/>
      <w:tcPr>
        <w:shd w:val="clear" w:color="auto" w:fill="D2DCFF" w:themeFill="accent3" w:themeFillTint="33"/>
      </w:tcPr>
    </w:tblStylePr>
  </w:style>
  <w:style w:type="table" w:styleId="ListTable4-Accent4">
    <w:name w:val="List Table 4 Accent 4"/>
    <w:basedOn w:val="TableNormal"/>
    <w:uiPriority w:val="49"/>
    <w:rsid w:val="00BE28F6"/>
    <w:pPr>
      <w:spacing w:after="0" w:line="240" w:lineRule="auto"/>
    </w:pPr>
    <w:tblPr>
      <w:tblStyleRowBandSize w:val="1"/>
      <w:tblStyleColBandSize w:val="1"/>
      <w:tblBorders>
        <w:top w:val="single" w:sz="4" w:space="0" w:color="CCEFF6" w:themeColor="accent4" w:themeTint="99"/>
        <w:left w:val="single" w:sz="4" w:space="0" w:color="CCEFF6" w:themeColor="accent4" w:themeTint="99"/>
        <w:bottom w:val="single" w:sz="4" w:space="0" w:color="CCEFF6" w:themeColor="accent4" w:themeTint="99"/>
        <w:right w:val="single" w:sz="4" w:space="0" w:color="CCEFF6" w:themeColor="accent4" w:themeTint="99"/>
        <w:insideH w:val="single" w:sz="4" w:space="0" w:color="CCEFF6" w:themeColor="accent4" w:themeTint="99"/>
      </w:tblBorders>
    </w:tblPr>
    <w:tblStylePr w:type="firstRow">
      <w:rPr>
        <w:b/>
        <w:bCs/>
        <w:color w:val="FFFFFF" w:themeColor="background1"/>
      </w:rPr>
      <w:tblPr/>
      <w:tcPr>
        <w:tcBorders>
          <w:top w:val="single" w:sz="4" w:space="0" w:color="AAE6F0" w:themeColor="accent4"/>
          <w:left w:val="single" w:sz="4" w:space="0" w:color="AAE6F0" w:themeColor="accent4"/>
          <w:bottom w:val="single" w:sz="4" w:space="0" w:color="AAE6F0" w:themeColor="accent4"/>
          <w:right w:val="single" w:sz="4" w:space="0" w:color="AAE6F0" w:themeColor="accent4"/>
          <w:insideH w:val="nil"/>
        </w:tcBorders>
        <w:shd w:val="clear" w:color="auto" w:fill="AAE6F0" w:themeFill="accent4"/>
      </w:tcPr>
    </w:tblStylePr>
    <w:tblStylePr w:type="lastRow">
      <w:rPr>
        <w:b/>
        <w:bCs/>
      </w:rPr>
      <w:tblPr/>
      <w:tcPr>
        <w:tcBorders>
          <w:top w:val="double" w:sz="4" w:space="0" w:color="CCEFF6" w:themeColor="accent4" w:themeTint="99"/>
        </w:tcBorders>
      </w:tcPr>
    </w:tblStylePr>
    <w:tblStylePr w:type="firstCol">
      <w:rPr>
        <w:b/>
        <w:bCs/>
      </w:rPr>
    </w:tblStylePr>
    <w:tblStylePr w:type="lastCol">
      <w:rPr>
        <w:b/>
        <w:bCs/>
      </w:rPr>
    </w:tblStylePr>
    <w:tblStylePr w:type="band1Vert">
      <w:tblPr/>
      <w:tcPr>
        <w:shd w:val="clear" w:color="auto" w:fill="EEF9FC" w:themeFill="accent4" w:themeFillTint="33"/>
      </w:tcPr>
    </w:tblStylePr>
    <w:tblStylePr w:type="band1Horz">
      <w:tblPr/>
      <w:tcPr>
        <w:shd w:val="clear" w:color="auto" w:fill="EEF9FC" w:themeFill="accent4" w:themeFillTint="33"/>
      </w:tcPr>
    </w:tblStylePr>
  </w:style>
  <w:style w:type="table" w:styleId="ListTable4-Accent5">
    <w:name w:val="List Table 4 Accent 5"/>
    <w:basedOn w:val="TableNormal"/>
    <w:uiPriority w:val="49"/>
    <w:rsid w:val="00BE28F6"/>
    <w:pPr>
      <w:spacing w:after="0" w:line="240" w:lineRule="auto"/>
    </w:pPr>
    <w:tblPr>
      <w:tblStyleRowBandSize w:val="1"/>
      <w:tblStyleColBandSize w:val="1"/>
      <w:tblBorders>
        <w:top w:val="single" w:sz="4" w:space="0" w:color="85C2D6" w:themeColor="accent5" w:themeTint="99"/>
        <w:left w:val="single" w:sz="4" w:space="0" w:color="85C2D6" w:themeColor="accent5" w:themeTint="99"/>
        <w:bottom w:val="single" w:sz="4" w:space="0" w:color="85C2D6" w:themeColor="accent5" w:themeTint="99"/>
        <w:right w:val="single" w:sz="4" w:space="0" w:color="85C2D6" w:themeColor="accent5" w:themeTint="99"/>
        <w:insideH w:val="single" w:sz="4" w:space="0" w:color="85C2D6" w:themeColor="accent5" w:themeTint="99"/>
      </w:tblBorders>
    </w:tblPr>
    <w:tblStylePr w:type="firstRow">
      <w:rPr>
        <w:b/>
        <w:bCs/>
        <w:color w:val="FFFFFF" w:themeColor="background1"/>
      </w:rPr>
      <w:tblPr/>
      <w:tcPr>
        <w:tcBorders>
          <w:top w:val="single" w:sz="4" w:space="0" w:color="3C96B4" w:themeColor="accent5"/>
          <w:left w:val="single" w:sz="4" w:space="0" w:color="3C96B4" w:themeColor="accent5"/>
          <w:bottom w:val="single" w:sz="4" w:space="0" w:color="3C96B4" w:themeColor="accent5"/>
          <w:right w:val="single" w:sz="4" w:space="0" w:color="3C96B4" w:themeColor="accent5"/>
          <w:insideH w:val="nil"/>
        </w:tcBorders>
        <w:shd w:val="clear" w:color="auto" w:fill="3C96B4" w:themeFill="accent5"/>
      </w:tcPr>
    </w:tblStylePr>
    <w:tblStylePr w:type="lastRow">
      <w:rPr>
        <w:b/>
        <w:bCs/>
      </w:rPr>
      <w:tblPr/>
      <w:tcPr>
        <w:tcBorders>
          <w:top w:val="double" w:sz="4" w:space="0" w:color="85C2D6" w:themeColor="accent5" w:themeTint="99"/>
        </w:tcBorders>
      </w:tcPr>
    </w:tblStylePr>
    <w:tblStylePr w:type="firstCol">
      <w:rPr>
        <w:b/>
        <w:bCs/>
      </w:rPr>
    </w:tblStylePr>
    <w:tblStylePr w:type="lastCol">
      <w:rPr>
        <w:b/>
        <w:bCs/>
      </w:rPr>
    </w:tblStylePr>
    <w:tblStylePr w:type="band1Vert">
      <w:tblPr/>
      <w:tcPr>
        <w:shd w:val="clear" w:color="auto" w:fill="D6EAF1" w:themeFill="accent5" w:themeFillTint="33"/>
      </w:tcPr>
    </w:tblStylePr>
    <w:tblStylePr w:type="band1Horz">
      <w:tblPr/>
      <w:tcPr>
        <w:shd w:val="clear" w:color="auto" w:fill="D6EAF1" w:themeFill="accent5" w:themeFillTint="33"/>
      </w:tcPr>
    </w:tblStylePr>
  </w:style>
  <w:style w:type="table" w:styleId="ListTable4-Accent6">
    <w:name w:val="List Table 4 Accent 6"/>
    <w:basedOn w:val="TableNormal"/>
    <w:uiPriority w:val="49"/>
    <w:rsid w:val="00BE28F6"/>
    <w:pPr>
      <w:spacing w:after="0" w:line="240" w:lineRule="auto"/>
    </w:pPr>
    <w:tblPr>
      <w:tblStyleRowBandSize w:val="1"/>
      <w:tblStyleColBandSize w:val="1"/>
      <w:tblBorders>
        <w:top w:val="single" w:sz="4" w:space="0" w:color="CFDAFF" w:themeColor="accent6" w:themeTint="99"/>
        <w:left w:val="single" w:sz="4" w:space="0" w:color="CFDAFF" w:themeColor="accent6" w:themeTint="99"/>
        <w:bottom w:val="single" w:sz="4" w:space="0" w:color="CFDAFF" w:themeColor="accent6" w:themeTint="99"/>
        <w:right w:val="single" w:sz="4" w:space="0" w:color="CFDAFF" w:themeColor="accent6" w:themeTint="99"/>
        <w:insideH w:val="single" w:sz="4" w:space="0" w:color="CFDAFF" w:themeColor="accent6" w:themeTint="99"/>
      </w:tblBorders>
    </w:tblPr>
    <w:tblStylePr w:type="firstRow">
      <w:rPr>
        <w:b/>
        <w:bCs/>
        <w:color w:val="FFFFFF" w:themeColor="background1"/>
      </w:rPr>
      <w:tblPr/>
      <w:tcPr>
        <w:tcBorders>
          <w:top w:val="single" w:sz="4" w:space="0" w:color="AFC3FF" w:themeColor="accent6"/>
          <w:left w:val="single" w:sz="4" w:space="0" w:color="AFC3FF" w:themeColor="accent6"/>
          <w:bottom w:val="single" w:sz="4" w:space="0" w:color="AFC3FF" w:themeColor="accent6"/>
          <w:right w:val="single" w:sz="4" w:space="0" w:color="AFC3FF" w:themeColor="accent6"/>
          <w:insideH w:val="nil"/>
        </w:tcBorders>
        <w:shd w:val="clear" w:color="auto" w:fill="AFC3FF" w:themeFill="accent6"/>
      </w:tcPr>
    </w:tblStylePr>
    <w:tblStylePr w:type="lastRow">
      <w:rPr>
        <w:b/>
        <w:bCs/>
      </w:rPr>
      <w:tblPr/>
      <w:tcPr>
        <w:tcBorders>
          <w:top w:val="double" w:sz="4" w:space="0" w:color="CFDAFF" w:themeColor="accent6" w:themeTint="99"/>
        </w:tcBorders>
      </w:tcPr>
    </w:tblStylePr>
    <w:tblStylePr w:type="firstCol">
      <w:rPr>
        <w:b/>
        <w:bCs/>
      </w:rPr>
    </w:tblStylePr>
    <w:tblStylePr w:type="lastCol">
      <w:rPr>
        <w:b/>
        <w:bCs/>
      </w:rPr>
    </w:tblStylePr>
    <w:tblStylePr w:type="band1Vert">
      <w:tblPr/>
      <w:tcPr>
        <w:shd w:val="clear" w:color="auto" w:fill="EFF2FF" w:themeFill="accent6" w:themeFillTint="33"/>
      </w:tcPr>
    </w:tblStylePr>
    <w:tblStylePr w:type="band1Horz">
      <w:tblPr/>
      <w:tcPr>
        <w:shd w:val="clear" w:color="auto" w:fill="EFF2FF" w:themeFill="accent6" w:themeFillTint="33"/>
      </w:tcPr>
    </w:tblStylePr>
  </w:style>
  <w:style w:type="table" w:styleId="ListTable5Dark">
    <w:name w:val="List Table 5 Dark"/>
    <w:basedOn w:val="TableNormal"/>
    <w:uiPriority w:val="50"/>
    <w:rsid w:val="00BE28F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E28F6"/>
    <w:pPr>
      <w:spacing w:after="0" w:line="240" w:lineRule="auto"/>
    </w:pPr>
    <w:rPr>
      <w:color w:val="FFFFFF" w:themeColor="background1"/>
    </w:rPr>
    <w:tblPr>
      <w:tblStyleRowBandSize w:val="1"/>
      <w:tblStyleColBandSize w:val="1"/>
      <w:tblBorders>
        <w:top w:val="single" w:sz="24" w:space="0" w:color="051C2C" w:themeColor="accent1"/>
        <w:left w:val="single" w:sz="24" w:space="0" w:color="051C2C" w:themeColor="accent1"/>
        <w:bottom w:val="single" w:sz="24" w:space="0" w:color="051C2C" w:themeColor="accent1"/>
        <w:right w:val="single" w:sz="24" w:space="0" w:color="051C2C" w:themeColor="accent1"/>
      </w:tblBorders>
    </w:tblPr>
    <w:tcPr>
      <w:shd w:val="clear" w:color="auto" w:fill="051C2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E28F6"/>
    <w:pPr>
      <w:spacing w:after="0" w:line="240" w:lineRule="auto"/>
    </w:pPr>
    <w:rPr>
      <w:color w:val="FFFFFF" w:themeColor="background1"/>
    </w:rPr>
    <w:tblPr>
      <w:tblStyleRowBandSize w:val="1"/>
      <w:tblStyleColBandSize w:val="1"/>
      <w:tblBorders>
        <w:top w:val="single" w:sz="24" w:space="0" w:color="00A9F4" w:themeColor="accent2"/>
        <w:left w:val="single" w:sz="24" w:space="0" w:color="00A9F4" w:themeColor="accent2"/>
        <w:bottom w:val="single" w:sz="24" w:space="0" w:color="00A9F4" w:themeColor="accent2"/>
        <w:right w:val="single" w:sz="24" w:space="0" w:color="00A9F4" w:themeColor="accent2"/>
      </w:tblBorders>
    </w:tblPr>
    <w:tcPr>
      <w:shd w:val="clear" w:color="auto" w:fill="00A9F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E28F6"/>
    <w:pPr>
      <w:spacing w:after="0" w:line="240" w:lineRule="auto"/>
    </w:pPr>
    <w:rPr>
      <w:color w:val="FFFFFF" w:themeColor="background1"/>
    </w:rPr>
    <w:tblPr>
      <w:tblStyleRowBandSize w:val="1"/>
      <w:tblStyleColBandSize w:val="1"/>
      <w:tblBorders>
        <w:top w:val="single" w:sz="24" w:space="0" w:color="2251FF" w:themeColor="accent3"/>
        <w:left w:val="single" w:sz="24" w:space="0" w:color="2251FF" w:themeColor="accent3"/>
        <w:bottom w:val="single" w:sz="24" w:space="0" w:color="2251FF" w:themeColor="accent3"/>
        <w:right w:val="single" w:sz="24" w:space="0" w:color="2251FF" w:themeColor="accent3"/>
      </w:tblBorders>
    </w:tblPr>
    <w:tcPr>
      <w:shd w:val="clear" w:color="auto" w:fill="2251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E28F6"/>
    <w:pPr>
      <w:spacing w:after="0" w:line="240" w:lineRule="auto"/>
    </w:pPr>
    <w:rPr>
      <w:color w:val="FFFFFF" w:themeColor="background1"/>
    </w:rPr>
    <w:tblPr>
      <w:tblStyleRowBandSize w:val="1"/>
      <w:tblStyleColBandSize w:val="1"/>
      <w:tblBorders>
        <w:top w:val="single" w:sz="24" w:space="0" w:color="AAE6F0" w:themeColor="accent4"/>
        <w:left w:val="single" w:sz="24" w:space="0" w:color="AAE6F0" w:themeColor="accent4"/>
        <w:bottom w:val="single" w:sz="24" w:space="0" w:color="AAE6F0" w:themeColor="accent4"/>
        <w:right w:val="single" w:sz="24" w:space="0" w:color="AAE6F0" w:themeColor="accent4"/>
      </w:tblBorders>
    </w:tblPr>
    <w:tcPr>
      <w:shd w:val="clear" w:color="auto" w:fill="AAE6F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E28F6"/>
    <w:pPr>
      <w:spacing w:after="0" w:line="240" w:lineRule="auto"/>
    </w:pPr>
    <w:rPr>
      <w:color w:val="FFFFFF" w:themeColor="background1"/>
    </w:rPr>
    <w:tblPr>
      <w:tblStyleRowBandSize w:val="1"/>
      <w:tblStyleColBandSize w:val="1"/>
      <w:tblBorders>
        <w:top w:val="single" w:sz="24" w:space="0" w:color="3C96B4" w:themeColor="accent5"/>
        <w:left w:val="single" w:sz="24" w:space="0" w:color="3C96B4" w:themeColor="accent5"/>
        <w:bottom w:val="single" w:sz="24" w:space="0" w:color="3C96B4" w:themeColor="accent5"/>
        <w:right w:val="single" w:sz="24" w:space="0" w:color="3C96B4" w:themeColor="accent5"/>
      </w:tblBorders>
    </w:tblPr>
    <w:tcPr>
      <w:shd w:val="clear" w:color="auto" w:fill="3C96B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E28F6"/>
    <w:pPr>
      <w:spacing w:after="0" w:line="240" w:lineRule="auto"/>
    </w:pPr>
    <w:rPr>
      <w:color w:val="FFFFFF" w:themeColor="background1"/>
    </w:rPr>
    <w:tblPr>
      <w:tblStyleRowBandSize w:val="1"/>
      <w:tblStyleColBandSize w:val="1"/>
      <w:tblBorders>
        <w:top w:val="single" w:sz="24" w:space="0" w:color="AFC3FF" w:themeColor="accent6"/>
        <w:left w:val="single" w:sz="24" w:space="0" w:color="AFC3FF" w:themeColor="accent6"/>
        <w:bottom w:val="single" w:sz="24" w:space="0" w:color="AFC3FF" w:themeColor="accent6"/>
        <w:right w:val="single" w:sz="24" w:space="0" w:color="AFC3FF" w:themeColor="accent6"/>
      </w:tblBorders>
    </w:tblPr>
    <w:tcPr>
      <w:shd w:val="clear" w:color="auto" w:fill="AFC3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BE28F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BE28F6"/>
    <w:pPr>
      <w:spacing w:after="0" w:line="240" w:lineRule="auto"/>
    </w:pPr>
    <w:rPr>
      <w:color w:val="031420" w:themeColor="accent1" w:themeShade="BF"/>
    </w:rPr>
    <w:tblPr>
      <w:tblStyleRowBandSize w:val="1"/>
      <w:tblStyleColBandSize w:val="1"/>
      <w:tblBorders>
        <w:top w:val="single" w:sz="4" w:space="0" w:color="051C2C" w:themeColor="accent1"/>
        <w:bottom w:val="single" w:sz="4" w:space="0" w:color="051C2C" w:themeColor="accent1"/>
      </w:tblBorders>
    </w:tblPr>
    <w:tblStylePr w:type="firstRow">
      <w:rPr>
        <w:b/>
        <w:bCs/>
      </w:rPr>
      <w:tblPr/>
      <w:tcPr>
        <w:tcBorders>
          <w:bottom w:val="single" w:sz="4" w:space="0" w:color="051C2C" w:themeColor="accent1"/>
        </w:tcBorders>
      </w:tcPr>
    </w:tblStylePr>
    <w:tblStylePr w:type="lastRow">
      <w:rPr>
        <w:b/>
        <w:bCs/>
      </w:rPr>
      <w:tblPr/>
      <w:tcPr>
        <w:tcBorders>
          <w:top w:val="double" w:sz="4" w:space="0" w:color="051C2C" w:themeColor="accent1"/>
        </w:tcBorders>
      </w:tcPr>
    </w:tblStylePr>
    <w:tblStylePr w:type="firstCol">
      <w:rPr>
        <w:b/>
        <w:bCs/>
      </w:rPr>
    </w:tblStylePr>
    <w:tblStylePr w:type="lastCol">
      <w:rPr>
        <w:b/>
        <w:bCs/>
      </w:rPr>
    </w:tblStylePr>
    <w:tblStylePr w:type="band1Vert">
      <w:tblPr/>
      <w:tcPr>
        <w:shd w:val="clear" w:color="auto" w:fill="ACD7F5" w:themeFill="accent1" w:themeFillTint="33"/>
      </w:tcPr>
    </w:tblStylePr>
    <w:tblStylePr w:type="band1Horz">
      <w:tblPr/>
      <w:tcPr>
        <w:shd w:val="clear" w:color="auto" w:fill="ACD7F5" w:themeFill="accent1" w:themeFillTint="33"/>
      </w:tcPr>
    </w:tblStylePr>
  </w:style>
  <w:style w:type="table" w:styleId="ListTable6Colorful-Accent2">
    <w:name w:val="List Table 6 Colorful Accent 2"/>
    <w:basedOn w:val="TableNormal"/>
    <w:uiPriority w:val="51"/>
    <w:rsid w:val="00BE28F6"/>
    <w:pPr>
      <w:spacing w:after="0" w:line="240" w:lineRule="auto"/>
    </w:pPr>
    <w:rPr>
      <w:color w:val="007EB6" w:themeColor="accent2" w:themeShade="BF"/>
    </w:rPr>
    <w:tblPr>
      <w:tblStyleRowBandSize w:val="1"/>
      <w:tblStyleColBandSize w:val="1"/>
      <w:tblBorders>
        <w:top w:val="single" w:sz="4" w:space="0" w:color="00A9F4" w:themeColor="accent2"/>
        <w:bottom w:val="single" w:sz="4" w:space="0" w:color="00A9F4" w:themeColor="accent2"/>
      </w:tblBorders>
    </w:tblPr>
    <w:tblStylePr w:type="firstRow">
      <w:rPr>
        <w:b/>
        <w:bCs/>
      </w:rPr>
      <w:tblPr/>
      <w:tcPr>
        <w:tcBorders>
          <w:bottom w:val="single" w:sz="4" w:space="0" w:color="00A9F4" w:themeColor="accent2"/>
        </w:tcBorders>
      </w:tcPr>
    </w:tblStylePr>
    <w:tblStylePr w:type="lastRow">
      <w:rPr>
        <w:b/>
        <w:bCs/>
      </w:rPr>
      <w:tblPr/>
      <w:tcPr>
        <w:tcBorders>
          <w:top w:val="double" w:sz="4" w:space="0" w:color="00A9F4" w:themeColor="accent2"/>
        </w:tcBorders>
      </w:tcPr>
    </w:tblStylePr>
    <w:tblStylePr w:type="firstCol">
      <w:rPr>
        <w:b/>
        <w:bCs/>
      </w:rPr>
    </w:tblStylePr>
    <w:tblStylePr w:type="lastCol">
      <w:rPr>
        <w:b/>
        <w:bCs/>
      </w:rPr>
    </w:tblStylePr>
    <w:tblStylePr w:type="band1Vert">
      <w:tblPr/>
      <w:tcPr>
        <w:shd w:val="clear" w:color="auto" w:fill="C9EEFF" w:themeFill="accent2" w:themeFillTint="33"/>
      </w:tcPr>
    </w:tblStylePr>
    <w:tblStylePr w:type="band1Horz">
      <w:tblPr/>
      <w:tcPr>
        <w:shd w:val="clear" w:color="auto" w:fill="C9EEFF" w:themeFill="accent2" w:themeFillTint="33"/>
      </w:tcPr>
    </w:tblStylePr>
  </w:style>
  <w:style w:type="table" w:styleId="ListTable6Colorful-Accent3">
    <w:name w:val="List Table 6 Colorful Accent 3"/>
    <w:basedOn w:val="TableNormal"/>
    <w:uiPriority w:val="51"/>
    <w:rsid w:val="00BE28F6"/>
    <w:pPr>
      <w:spacing w:after="0" w:line="240" w:lineRule="auto"/>
    </w:pPr>
    <w:rPr>
      <w:color w:val="002DD8" w:themeColor="accent3" w:themeShade="BF"/>
    </w:rPr>
    <w:tblPr>
      <w:tblStyleRowBandSize w:val="1"/>
      <w:tblStyleColBandSize w:val="1"/>
      <w:tblBorders>
        <w:top w:val="single" w:sz="4" w:space="0" w:color="2251FF" w:themeColor="accent3"/>
        <w:bottom w:val="single" w:sz="4" w:space="0" w:color="2251FF" w:themeColor="accent3"/>
      </w:tblBorders>
    </w:tblPr>
    <w:tblStylePr w:type="firstRow">
      <w:rPr>
        <w:b/>
        <w:bCs/>
      </w:rPr>
      <w:tblPr/>
      <w:tcPr>
        <w:tcBorders>
          <w:bottom w:val="single" w:sz="4" w:space="0" w:color="2251FF" w:themeColor="accent3"/>
        </w:tcBorders>
      </w:tcPr>
    </w:tblStylePr>
    <w:tblStylePr w:type="lastRow">
      <w:rPr>
        <w:b/>
        <w:bCs/>
      </w:rPr>
      <w:tblPr/>
      <w:tcPr>
        <w:tcBorders>
          <w:top w:val="double" w:sz="4" w:space="0" w:color="2251FF" w:themeColor="accent3"/>
        </w:tcBorders>
      </w:tcPr>
    </w:tblStylePr>
    <w:tblStylePr w:type="firstCol">
      <w:rPr>
        <w:b/>
        <w:bCs/>
      </w:rPr>
    </w:tblStylePr>
    <w:tblStylePr w:type="lastCol">
      <w:rPr>
        <w:b/>
        <w:bCs/>
      </w:rPr>
    </w:tblStylePr>
    <w:tblStylePr w:type="band1Vert">
      <w:tblPr/>
      <w:tcPr>
        <w:shd w:val="clear" w:color="auto" w:fill="D2DCFF" w:themeFill="accent3" w:themeFillTint="33"/>
      </w:tcPr>
    </w:tblStylePr>
    <w:tblStylePr w:type="band1Horz">
      <w:tblPr/>
      <w:tcPr>
        <w:shd w:val="clear" w:color="auto" w:fill="D2DCFF" w:themeFill="accent3" w:themeFillTint="33"/>
      </w:tcPr>
    </w:tblStylePr>
  </w:style>
  <w:style w:type="table" w:styleId="ListTable6Colorful-Accent4">
    <w:name w:val="List Table 6 Colorful Accent 4"/>
    <w:basedOn w:val="TableNormal"/>
    <w:uiPriority w:val="51"/>
    <w:rsid w:val="00BE28F6"/>
    <w:pPr>
      <w:spacing w:after="0" w:line="240" w:lineRule="auto"/>
    </w:pPr>
    <w:rPr>
      <w:color w:val="52CCE0" w:themeColor="accent4" w:themeShade="BF"/>
    </w:rPr>
    <w:tblPr>
      <w:tblStyleRowBandSize w:val="1"/>
      <w:tblStyleColBandSize w:val="1"/>
      <w:tblBorders>
        <w:top w:val="single" w:sz="4" w:space="0" w:color="AAE6F0" w:themeColor="accent4"/>
        <w:bottom w:val="single" w:sz="4" w:space="0" w:color="AAE6F0" w:themeColor="accent4"/>
      </w:tblBorders>
    </w:tblPr>
    <w:tblStylePr w:type="firstRow">
      <w:rPr>
        <w:b/>
        <w:bCs/>
      </w:rPr>
      <w:tblPr/>
      <w:tcPr>
        <w:tcBorders>
          <w:bottom w:val="single" w:sz="4" w:space="0" w:color="AAE6F0" w:themeColor="accent4"/>
        </w:tcBorders>
      </w:tcPr>
    </w:tblStylePr>
    <w:tblStylePr w:type="lastRow">
      <w:rPr>
        <w:b/>
        <w:bCs/>
      </w:rPr>
      <w:tblPr/>
      <w:tcPr>
        <w:tcBorders>
          <w:top w:val="double" w:sz="4" w:space="0" w:color="AAE6F0" w:themeColor="accent4"/>
        </w:tcBorders>
      </w:tcPr>
    </w:tblStylePr>
    <w:tblStylePr w:type="firstCol">
      <w:rPr>
        <w:b/>
        <w:bCs/>
      </w:rPr>
    </w:tblStylePr>
    <w:tblStylePr w:type="lastCol">
      <w:rPr>
        <w:b/>
        <w:bCs/>
      </w:rPr>
    </w:tblStylePr>
    <w:tblStylePr w:type="band1Vert">
      <w:tblPr/>
      <w:tcPr>
        <w:shd w:val="clear" w:color="auto" w:fill="EEF9FC" w:themeFill="accent4" w:themeFillTint="33"/>
      </w:tcPr>
    </w:tblStylePr>
    <w:tblStylePr w:type="band1Horz">
      <w:tblPr/>
      <w:tcPr>
        <w:shd w:val="clear" w:color="auto" w:fill="EEF9FC" w:themeFill="accent4" w:themeFillTint="33"/>
      </w:tcPr>
    </w:tblStylePr>
  </w:style>
  <w:style w:type="table" w:styleId="ListTable6Colorful-Accent5">
    <w:name w:val="List Table 6 Colorful Accent 5"/>
    <w:basedOn w:val="TableNormal"/>
    <w:uiPriority w:val="51"/>
    <w:rsid w:val="00BE28F6"/>
    <w:pPr>
      <w:spacing w:after="0" w:line="240" w:lineRule="auto"/>
    </w:pPr>
    <w:rPr>
      <w:color w:val="2D7086" w:themeColor="accent5" w:themeShade="BF"/>
    </w:rPr>
    <w:tblPr>
      <w:tblStyleRowBandSize w:val="1"/>
      <w:tblStyleColBandSize w:val="1"/>
      <w:tblBorders>
        <w:top w:val="single" w:sz="4" w:space="0" w:color="3C96B4" w:themeColor="accent5"/>
        <w:bottom w:val="single" w:sz="4" w:space="0" w:color="3C96B4" w:themeColor="accent5"/>
      </w:tblBorders>
    </w:tblPr>
    <w:tblStylePr w:type="firstRow">
      <w:rPr>
        <w:b/>
        <w:bCs/>
      </w:rPr>
      <w:tblPr/>
      <w:tcPr>
        <w:tcBorders>
          <w:bottom w:val="single" w:sz="4" w:space="0" w:color="3C96B4" w:themeColor="accent5"/>
        </w:tcBorders>
      </w:tcPr>
    </w:tblStylePr>
    <w:tblStylePr w:type="lastRow">
      <w:rPr>
        <w:b/>
        <w:bCs/>
      </w:rPr>
      <w:tblPr/>
      <w:tcPr>
        <w:tcBorders>
          <w:top w:val="double" w:sz="4" w:space="0" w:color="3C96B4" w:themeColor="accent5"/>
        </w:tcBorders>
      </w:tcPr>
    </w:tblStylePr>
    <w:tblStylePr w:type="firstCol">
      <w:rPr>
        <w:b/>
        <w:bCs/>
      </w:rPr>
    </w:tblStylePr>
    <w:tblStylePr w:type="lastCol">
      <w:rPr>
        <w:b/>
        <w:bCs/>
      </w:rPr>
    </w:tblStylePr>
    <w:tblStylePr w:type="band1Vert">
      <w:tblPr/>
      <w:tcPr>
        <w:shd w:val="clear" w:color="auto" w:fill="D6EAF1" w:themeFill="accent5" w:themeFillTint="33"/>
      </w:tcPr>
    </w:tblStylePr>
    <w:tblStylePr w:type="band1Horz">
      <w:tblPr/>
      <w:tcPr>
        <w:shd w:val="clear" w:color="auto" w:fill="D6EAF1" w:themeFill="accent5" w:themeFillTint="33"/>
      </w:tcPr>
    </w:tblStylePr>
  </w:style>
  <w:style w:type="table" w:styleId="ListTable6Colorful-Accent6">
    <w:name w:val="List Table 6 Colorful Accent 6"/>
    <w:basedOn w:val="TableNormal"/>
    <w:uiPriority w:val="51"/>
    <w:rsid w:val="00BE28F6"/>
    <w:pPr>
      <w:spacing w:after="0" w:line="240" w:lineRule="auto"/>
    </w:pPr>
    <w:rPr>
      <w:color w:val="4371FF" w:themeColor="accent6" w:themeShade="BF"/>
    </w:rPr>
    <w:tblPr>
      <w:tblStyleRowBandSize w:val="1"/>
      <w:tblStyleColBandSize w:val="1"/>
      <w:tblBorders>
        <w:top w:val="single" w:sz="4" w:space="0" w:color="AFC3FF" w:themeColor="accent6"/>
        <w:bottom w:val="single" w:sz="4" w:space="0" w:color="AFC3FF" w:themeColor="accent6"/>
      </w:tblBorders>
    </w:tblPr>
    <w:tblStylePr w:type="firstRow">
      <w:rPr>
        <w:b/>
        <w:bCs/>
      </w:rPr>
      <w:tblPr/>
      <w:tcPr>
        <w:tcBorders>
          <w:bottom w:val="single" w:sz="4" w:space="0" w:color="AFC3FF" w:themeColor="accent6"/>
        </w:tcBorders>
      </w:tcPr>
    </w:tblStylePr>
    <w:tblStylePr w:type="lastRow">
      <w:rPr>
        <w:b/>
        <w:bCs/>
      </w:rPr>
      <w:tblPr/>
      <w:tcPr>
        <w:tcBorders>
          <w:top w:val="double" w:sz="4" w:space="0" w:color="AFC3FF" w:themeColor="accent6"/>
        </w:tcBorders>
      </w:tcPr>
    </w:tblStylePr>
    <w:tblStylePr w:type="firstCol">
      <w:rPr>
        <w:b/>
        <w:bCs/>
      </w:rPr>
    </w:tblStylePr>
    <w:tblStylePr w:type="lastCol">
      <w:rPr>
        <w:b/>
        <w:bCs/>
      </w:rPr>
    </w:tblStylePr>
    <w:tblStylePr w:type="band1Vert">
      <w:tblPr/>
      <w:tcPr>
        <w:shd w:val="clear" w:color="auto" w:fill="EFF2FF" w:themeFill="accent6" w:themeFillTint="33"/>
      </w:tcPr>
    </w:tblStylePr>
    <w:tblStylePr w:type="band1Horz">
      <w:tblPr/>
      <w:tcPr>
        <w:shd w:val="clear" w:color="auto" w:fill="EFF2FF" w:themeFill="accent6" w:themeFillTint="33"/>
      </w:tcPr>
    </w:tblStylePr>
  </w:style>
  <w:style w:type="table" w:styleId="ListTable7Colorful">
    <w:name w:val="List Table 7 Colorful"/>
    <w:basedOn w:val="TableNormal"/>
    <w:uiPriority w:val="52"/>
    <w:rsid w:val="00BE28F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E28F6"/>
    <w:pPr>
      <w:spacing w:after="0" w:line="240" w:lineRule="auto"/>
    </w:pPr>
    <w:rPr>
      <w:color w:val="03142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51C2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51C2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51C2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51C2C" w:themeColor="accent1"/>
        </w:tcBorders>
        <w:shd w:val="clear" w:color="auto" w:fill="FFFFFF" w:themeFill="background1"/>
      </w:tcPr>
    </w:tblStylePr>
    <w:tblStylePr w:type="band1Vert">
      <w:tblPr/>
      <w:tcPr>
        <w:shd w:val="clear" w:color="auto" w:fill="ACD7F5" w:themeFill="accent1" w:themeFillTint="33"/>
      </w:tcPr>
    </w:tblStylePr>
    <w:tblStylePr w:type="band1Horz">
      <w:tblPr/>
      <w:tcPr>
        <w:shd w:val="clear" w:color="auto" w:fill="ACD7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E28F6"/>
    <w:pPr>
      <w:spacing w:after="0" w:line="240" w:lineRule="auto"/>
    </w:pPr>
    <w:rPr>
      <w:color w:val="007EB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9F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9F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9F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9F4" w:themeColor="accent2"/>
        </w:tcBorders>
        <w:shd w:val="clear" w:color="auto" w:fill="FFFFFF" w:themeFill="background1"/>
      </w:tcPr>
    </w:tblStylePr>
    <w:tblStylePr w:type="band1Vert">
      <w:tblPr/>
      <w:tcPr>
        <w:shd w:val="clear" w:color="auto" w:fill="C9EEFF" w:themeFill="accent2" w:themeFillTint="33"/>
      </w:tcPr>
    </w:tblStylePr>
    <w:tblStylePr w:type="band1Horz">
      <w:tblPr/>
      <w:tcPr>
        <w:shd w:val="clear" w:color="auto" w:fill="C9EE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E28F6"/>
    <w:pPr>
      <w:spacing w:after="0" w:line="240" w:lineRule="auto"/>
    </w:pPr>
    <w:rPr>
      <w:color w:val="002DD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251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251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251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251FF" w:themeColor="accent3"/>
        </w:tcBorders>
        <w:shd w:val="clear" w:color="auto" w:fill="FFFFFF" w:themeFill="background1"/>
      </w:tcPr>
    </w:tblStylePr>
    <w:tblStylePr w:type="band1Vert">
      <w:tblPr/>
      <w:tcPr>
        <w:shd w:val="clear" w:color="auto" w:fill="D2DCFF" w:themeFill="accent3" w:themeFillTint="33"/>
      </w:tcPr>
    </w:tblStylePr>
    <w:tblStylePr w:type="band1Horz">
      <w:tblPr/>
      <w:tcPr>
        <w:shd w:val="clear" w:color="auto" w:fill="D2DC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BE28F6"/>
    <w:pPr>
      <w:spacing w:after="0" w:line="240" w:lineRule="auto"/>
    </w:pPr>
    <w:rPr>
      <w:color w:val="52CCE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AE6F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E6F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E6F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E6F0" w:themeColor="accent4"/>
        </w:tcBorders>
        <w:shd w:val="clear" w:color="auto" w:fill="FFFFFF" w:themeFill="background1"/>
      </w:tcPr>
    </w:tblStylePr>
    <w:tblStylePr w:type="band1Vert">
      <w:tblPr/>
      <w:tcPr>
        <w:shd w:val="clear" w:color="auto" w:fill="EEF9FC" w:themeFill="accent4" w:themeFillTint="33"/>
      </w:tcPr>
    </w:tblStylePr>
    <w:tblStylePr w:type="band1Horz">
      <w:tblPr/>
      <w:tcPr>
        <w:shd w:val="clear" w:color="auto" w:fill="EEF9F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BE28F6"/>
    <w:pPr>
      <w:spacing w:after="0" w:line="240" w:lineRule="auto"/>
    </w:pPr>
    <w:rPr>
      <w:color w:val="2D708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96B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96B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96B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96B4" w:themeColor="accent5"/>
        </w:tcBorders>
        <w:shd w:val="clear" w:color="auto" w:fill="FFFFFF" w:themeFill="background1"/>
      </w:tcPr>
    </w:tblStylePr>
    <w:tblStylePr w:type="band1Vert">
      <w:tblPr/>
      <w:tcPr>
        <w:shd w:val="clear" w:color="auto" w:fill="D6EAF1" w:themeFill="accent5" w:themeFillTint="33"/>
      </w:tcPr>
    </w:tblStylePr>
    <w:tblStylePr w:type="band1Horz">
      <w:tblPr/>
      <w:tcPr>
        <w:shd w:val="clear" w:color="auto" w:fill="D6EA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BE28F6"/>
    <w:pPr>
      <w:spacing w:after="0" w:line="240" w:lineRule="auto"/>
    </w:pPr>
    <w:rPr>
      <w:color w:val="4371F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FC3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FC3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FC3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FC3FF" w:themeColor="accent6"/>
        </w:tcBorders>
        <w:shd w:val="clear" w:color="auto" w:fill="FFFFFF" w:themeFill="background1"/>
      </w:tcPr>
    </w:tblStylePr>
    <w:tblStylePr w:type="band1Vert">
      <w:tblPr/>
      <w:tcPr>
        <w:shd w:val="clear" w:color="auto" w:fill="EFF2FF" w:themeFill="accent6" w:themeFillTint="33"/>
      </w:tcPr>
    </w:tblStylePr>
    <w:tblStylePr w:type="band1Horz">
      <w:tblPr/>
      <w:tcPr>
        <w:shd w:val="clear" w:color="auto" w:fill="EFF2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BE28F6"/>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eastAsia="Times New Roman" w:hAnsi="Consolas" w:cs="Times New Roman"/>
      <w:sz w:val="20"/>
      <w:szCs w:val="20"/>
      <w:lang w:val="en-US"/>
    </w:rPr>
  </w:style>
  <w:style w:type="character" w:customStyle="1" w:styleId="MacroTextChar">
    <w:name w:val="Macro Text Char"/>
    <w:basedOn w:val="DefaultParagraphFont"/>
    <w:link w:val="MacroText"/>
    <w:uiPriority w:val="99"/>
    <w:semiHidden/>
    <w:rsid w:val="00BE28F6"/>
    <w:rPr>
      <w:rFonts w:ascii="Consolas" w:eastAsia="Times New Roman" w:hAnsi="Consolas" w:cs="Times New Roman"/>
      <w:sz w:val="20"/>
      <w:szCs w:val="20"/>
      <w:lang w:val="en-US"/>
    </w:rPr>
  </w:style>
  <w:style w:type="table" w:styleId="MediumGrid1">
    <w:name w:val="Medium Grid 1"/>
    <w:basedOn w:val="TableNormal"/>
    <w:uiPriority w:val="67"/>
    <w:semiHidden/>
    <w:unhideWhenUsed/>
    <w:rsid w:val="00BE28F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BE28F6"/>
    <w:pPr>
      <w:spacing w:after="0" w:line="240" w:lineRule="auto"/>
    </w:pPr>
    <w:tblPr>
      <w:tblStyleRowBandSize w:val="1"/>
      <w:tblStyleColBandSize w:val="1"/>
      <w:tblBorders>
        <w:top w:val="single" w:sz="8" w:space="0" w:color="115D93" w:themeColor="accent1" w:themeTint="BF"/>
        <w:left w:val="single" w:sz="8" w:space="0" w:color="115D93" w:themeColor="accent1" w:themeTint="BF"/>
        <w:bottom w:val="single" w:sz="8" w:space="0" w:color="115D93" w:themeColor="accent1" w:themeTint="BF"/>
        <w:right w:val="single" w:sz="8" w:space="0" w:color="115D93" w:themeColor="accent1" w:themeTint="BF"/>
        <w:insideH w:val="single" w:sz="8" w:space="0" w:color="115D93" w:themeColor="accent1" w:themeTint="BF"/>
        <w:insideV w:val="single" w:sz="8" w:space="0" w:color="115D93" w:themeColor="accent1" w:themeTint="BF"/>
      </w:tblBorders>
    </w:tblPr>
    <w:tcPr>
      <w:shd w:val="clear" w:color="auto" w:fill="98CEF3" w:themeFill="accent1" w:themeFillTint="3F"/>
    </w:tcPr>
    <w:tblStylePr w:type="firstRow">
      <w:rPr>
        <w:b/>
        <w:bCs/>
      </w:rPr>
    </w:tblStylePr>
    <w:tblStylePr w:type="lastRow">
      <w:rPr>
        <w:b/>
        <w:bCs/>
      </w:rPr>
      <w:tblPr/>
      <w:tcPr>
        <w:tcBorders>
          <w:top w:val="single" w:sz="18" w:space="0" w:color="115D93" w:themeColor="accent1" w:themeTint="BF"/>
        </w:tcBorders>
      </w:tcPr>
    </w:tblStylePr>
    <w:tblStylePr w:type="firstCol">
      <w:rPr>
        <w:b/>
        <w:bCs/>
      </w:rPr>
    </w:tblStylePr>
    <w:tblStylePr w:type="lastCol">
      <w:rPr>
        <w:b/>
        <w:bCs/>
      </w:rPr>
    </w:tblStylePr>
    <w:tblStylePr w:type="band1Vert">
      <w:tblPr/>
      <w:tcPr>
        <w:shd w:val="clear" w:color="auto" w:fill="309CE7" w:themeFill="accent1" w:themeFillTint="7F"/>
      </w:tcPr>
    </w:tblStylePr>
    <w:tblStylePr w:type="band1Horz">
      <w:tblPr/>
      <w:tcPr>
        <w:shd w:val="clear" w:color="auto" w:fill="309CE7" w:themeFill="accent1" w:themeFillTint="7F"/>
      </w:tcPr>
    </w:tblStylePr>
  </w:style>
  <w:style w:type="table" w:styleId="MediumGrid1-Accent2">
    <w:name w:val="Medium Grid 1 Accent 2"/>
    <w:basedOn w:val="TableNormal"/>
    <w:uiPriority w:val="67"/>
    <w:semiHidden/>
    <w:unhideWhenUsed/>
    <w:rsid w:val="00BE28F6"/>
    <w:pPr>
      <w:spacing w:after="0" w:line="240" w:lineRule="auto"/>
    </w:pPr>
    <w:tblPr>
      <w:tblStyleRowBandSize w:val="1"/>
      <w:tblStyleColBandSize w:val="1"/>
      <w:tblBorders>
        <w:top w:val="single" w:sz="8" w:space="0" w:color="37C1FF" w:themeColor="accent2" w:themeTint="BF"/>
        <w:left w:val="single" w:sz="8" w:space="0" w:color="37C1FF" w:themeColor="accent2" w:themeTint="BF"/>
        <w:bottom w:val="single" w:sz="8" w:space="0" w:color="37C1FF" w:themeColor="accent2" w:themeTint="BF"/>
        <w:right w:val="single" w:sz="8" w:space="0" w:color="37C1FF" w:themeColor="accent2" w:themeTint="BF"/>
        <w:insideH w:val="single" w:sz="8" w:space="0" w:color="37C1FF" w:themeColor="accent2" w:themeTint="BF"/>
        <w:insideV w:val="single" w:sz="8" w:space="0" w:color="37C1FF" w:themeColor="accent2" w:themeTint="BF"/>
      </w:tblBorders>
    </w:tblPr>
    <w:tcPr>
      <w:shd w:val="clear" w:color="auto" w:fill="BDEAFF" w:themeFill="accent2" w:themeFillTint="3F"/>
    </w:tcPr>
    <w:tblStylePr w:type="firstRow">
      <w:rPr>
        <w:b/>
        <w:bCs/>
      </w:rPr>
    </w:tblStylePr>
    <w:tblStylePr w:type="lastRow">
      <w:rPr>
        <w:b/>
        <w:bCs/>
      </w:rPr>
      <w:tblPr/>
      <w:tcPr>
        <w:tcBorders>
          <w:top w:val="single" w:sz="18" w:space="0" w:color="37C1FF" w:themeColor="accent2" w:themeTint="BF"/>
        </w:tcBorders>
      </w:tcPr>
    </w:tblStylePr>
    <w:tblStylePr w:type="firstCol">
      <w:rPr>
        <w:b/>
        <w:bCs/>
      </w:rPr>
    </w:tblStylePr>
    <w:tblStylePr w:type="lastCol">
      <w:rPr>
        <w:b/>
        <w:bCs/>
      </w:rPr>
    </w:tblStylePr>
    <w:tblStylePr w:type="band1Vert">
      <w:tblPr/>
      <w:tcPr>
        <w:shd w:val="clear" w:color="auto" w:fill="7AD5FF" w:themeFill="accent2" w:themeFillTint="7F"/>
      </w:tcPr>
    </w:tblStylePr>
    <w:tblStylePr w:type="band1Horz">
      <w:tblPr/>
      <w:tcPr>
        <w:shd w:val="clear" w:color="auto" w:fill="7AD5FF" w:themeFill="accent2" w:themeFillTint="7F"/>
      </w:tcPr>
    </w:tblStylePr>
  </w:style>
  <w:style w:type="table" w:styleId="MediumGrid1-Accent3">
    <w:name w:val="Medium Grid 1 Accent 3"/>
    <w:basedOn w:val="TableNormal"/>
    <w:uiPriority w:val="67"/>
    <w:semiHidden/>
    <w:unhideWhenUsed/>
    <w:rsid w:val="00BE28F6"/>
    <w:pPr>
      <w:spacing w:after="0" w:line="240" w:lineRule="auto"/>
    </w:pPr>
    <w:tblPr>
      <w:tblStyleRowBandSize w:val="1"/>
      <w:tblStyleColBandSize w:val="1"/>
      <w:tblBorders>
        <w:top w:val="single" w:sz="8" w:space="0" w:color="597CFF" w:themeColor="accent3" w:themeTint="BF"/>
        <w:left w:val="single" w:sz="8" w:space="0" w:color="597CFF" w:themeColor="accent3" w:themeTint="BF"/>
        <w:bottom w:val="single" w:sz="8" w:space="0" w:color="597CFF" w:themeColor="accent3" w:themeTint="BF"/>
        <w:right w:val="single" w:sz="8" w:space="0" w:color="597CFF" w:themeColor="accent3" w:themeTint="BF"/>
        <w:insideH w:val="single" w:sz="8" w:space="0" w:color="597CFF" w:themeColor="accent3" w:themeTint="BF"/>
        <w:insideV w:val="single" w:sz="8" w:space="0" w:color="597CFF" w:themeColor="accent3" w:themeTint="BF"/>
      </w:tblBorders>
    </w:tblPr>
    <w:tcPr>
      <w:shd w:val="clear" w:color="auto" w:fill="C8D3FF" w:themeFill="accent3" w:themeFillTint="3F"/>
    </w:tcPr>
    <w:tblStylePr w:type="firstRow">
      <w:rPr>
        <w:b/>
        <w:bCs/>
      </w:rPr>
    </w:tblStylePr>
    <w:tblStylePr w:type="lastRow">
      <w:rPr>
        <w:b/>
        <w:bCs/>
      </w:rPr>
      <w:tblPr/>
      <w:tcPr>
        <w:tcBorders>
          <w:top w:val="single" w:sz="18" w:space="0" w:color="597CFF" w:themeColor="accent3" w:themeTint="BF"/>
        </w:tcBorders>
      </w:tcPr>
    </w:tblStylePr>
    <w:tblStylePr w:type="firstCol">
      <w:rPr>
        <w:b/>
        <w:bCs/>
      </w:rPr>
    </w:tblStylePr>
    <w:tblStylePr w:type="lastCol">
      <w:rPr>
        <w:b/>
        <w:bCs/>
      </w:rPr>
    </w:tblStylePr>
    <w:tblStylePr w:type="band1Vert">
      <w:tblPr/>
      <w:tcPr>
        <w:shd w:val="clear" w:color="auto" w:fill="90A8FF" w:themeFill="accent3" w:themeFillTint="7F"/>
      </w:tcPr>
    </w:tblStylePr>
    <w:tblStylePr w:type="band1Horz">
      <w:tblPr/>
      <w:tcPr>
        <w:shd w:val="clear" w:color="auto" w:fill="90A8FF" w:themeFill="accent3" w:themeFillTint="7F"/>
      </w:tcPr>
    </w:tblStylePr>
  </w:style>
  <w:style w:type="table" w:styleId="MediumGrid1-Accent4">
    <w:name w:val="Medium Grid 1 Accent 4"/>
    <w:basedOn w:val="TableNormal"/>
    <w:uiPriority w:val="67"/>
    <w:semiHidden/>
    <w:unhideWhenUsed/>
    <w:rsid w:val="00BE28F6"/>
    <w:pPr>
      <w:spacing w:after="0" w:line="240" w:lineRule="auto"/>
    </w:pPr>
    <w:tblPr>
      <w:tblStyleRowBandSize w:val="1"/>
      <w:tblStyleColBandSize w:val="1"/>
      <w:tblBorders>
        <w:top w:val="single" w:sz="8" w:space="0" w:color="BFECF3" w:themeColor="accent4" w:themeTint="BF"/>
        <w:left w:val="single" w:sz="8" w:space="0" w:color="BFECF3" w:themeColor="accent4" w:themeTint="BF"/>
        <w:bottom w:val="single" w:sz="8" w:space="0" w:color="BFECF3" w:themeColor="accent4" w:themeTint="BF"/>
        <w:right w:val="single" w:sz="8" w:space="0" w:color="BFECF3" w:themeColor="accent4" w:themeTint="BF"/>
        <w:insideH w:val="single" w:sz="8" w:space="0" w:color="BFECF3" w:themeColor="accent4" w:themeTint="BF"/>
        <w:insideV w:val="single" w:sz="8" w:space="0" w:color="BFECF3" w:themeColor="accent4" w:themeTint="BF"/>
      </w:tblBorders>
    </w:tblPr>
    <w:tcPr>
      <w:shd w:val="clear" w:color="auto" w:fill="E9F8FB" w:themeFill="accent4" w:themeFillTint="3F"/>
    </w:tcPr>
    <w:tblStylePr w:type="firstRow">
      <w:rPr>
        <w:b/>
        <w:bCs/>
      </w:rPr>
    </w:tblStylePr>
    <w:tblStylePr w:type="lastRow">
      <w:rPr>
        <w:b/>
        <w:bCs/>
      </w:rPr>
      <w:tblPr/>
      <w:tcPr>
        <w:tcBorders>
          <w:top w:val="single" w:sz="18" w:space="0" w:color="BFECF3" w:themeColor="accent4" w:themeTint="BF"/>
        </w:tcBorders>
      </w:tcPr>
    </w:tblStylePr>
    <w:tblStylePr w:type="firstCol">
      <w:rPr>
        <w:b/>
        <w:bCs/>
      </w:rPr>
    </w:tblStylePr>
    <w:tblStylePr w:type="lastCol">
      <w:rPr>
        <w:b/>
        <w:bCs/>
      </w:rPr>
    </w:tblStylePr>
    <w:tblStylePr w:type="band1Vert">
      <w:tblPr/>
      <w:tcPr>
        <w:shd w:val="clear" w:color="auto" w:fill="D4F2F7" w:themeFill="accent4" w:themeFillTint="7F"/>
      </w:tcPr>
    </w:tblStylePr>
    <w:tblStylePr w:type="band1Horz">
      <w:tblPr/>
      <w:tcPr>
        <w:shd w:val="clear" w:color="auto" w:fill="D4F2F7" w:themeFill="accent4" w:themeFillTint="7F"/>
      </w:tcPr>
    </w:tblStylePr>
  </w:style>
  <w:style w:type="table" w:styleId="MediumGrid1-Accent5">
    <w:name w:val="Medium Grid 1 Accent 5"/>
    <w:basedOn w:val="TableNormal"/>
    <w:uiPriority w:val="67"/>
    <w:semiHidden/>
    <w:unhideWhenUsed/>
    <w:rsid w:val="00BE28F6"/>
    <w:pPr>
      <w:spacing w:after="0" w:line="240" w:lineRule="auto"/>
    </w:pPr>
    <w:tblPr>
      <w:tblStyleRowBandSize w:val="1"/>
      <w:tblStyleColBandSize w:val="1"/>
      <w:tblBorders>
        <w:top w:val="single" w:sz="8" w:space="0" w:color="67B3CC" w:themeColor="accent5" w:themeTint="BF"/>
        <w:left w:val="single" w:sz="8" w:space="0" w:color="67B3CC" w:themeColor="accent5" w:themeTint="BF"/>
        <w:bottom w:val="single" w:sz="8" w:space="0" w:color="67B3CC" w:themeColor="accent5" w:themeTint="BF"/>
        <w:right w:val="single" w:sz="8" w:space="0" w:color="67B3CC" w:themeColor="accent5" w:themeTint="BF"/>
        <w:insideH w:val="single" w:sz="8" w:space="0" w:color="67B3CC" w:themeColor="accent5" w:themeTint="BF"/>
        <w:insideV w:val="single" w:sz="8" w:space="0" w:color="67B3CC" w:themeColor="accent5" w:themeTint="BF"/>
      </w:tblBorders>
    </w:tblPr>
    <w:tcPr>
      <w:shd w:val="clear" w:color="auto" w:fill="CCE5EE" w:themeFill="accent5" w:themeFillTint="3F"/>
    </w:tcPr>
    <w:tblStylePr w:type="firstRow">
      <w:rPr>
        <w:b/>
        <w:bCs/>
      </w:rPr>
    </w:tblStylePr>
    <w:tblStylePr w:type="lastRow">
      <w:rPr>
        <w:b/>
        <w:bCs/>
      </w:rPr>
      <w:tblPr/>
      <w:tcPr>
        <w:tcBorders>
          <w:top w:val="single" w:sz="18" w:space="0" w:color="67B3CC" w:themeColor="accent5" w:themeTint="BF"/>
        </w:tcBorders>
      </w:tcPr>
    </w:tblStylePr>
    <w:tblStylePr w:type="firstCol">
      <w:rPr>
        <w:b/>
        <w:bCs/>
      </w:rPr>
    </w:tblStylePr>
    <w:tblStylePr w:type="lastCol">
      <w:rPr>
        <w:b/>
        <w:bCs/>
      </w:rPr>
    </w:tblStylePr>
    <w:tblStylePr w:type="band1Vert">
      <w:tblPr/>
      <w:tcPr>
        <w:shd w:val="clear" w:color="auto" w:fill="9ACCDD" w:themeFill="accent5" w:themeFillTint="7F"/>
      </w:tcPr>
    </w:tblStylePr>
    <w:tblStylePr w:type="band1Horz">
      <w:tblPr/>
      <w:tcPr>
        <w:shd w:val="clear" w:color="auto" w:fill="9ACCDD" w:themeFill="accent5" w:themeFillTint="7F"/>
      </w:tcPr>
    </w:tblStylePr>
  </w:style>
  <w:style w:type="table" w:styleId="MediumGrid1-Accent6">
    <w:name w:val="Medium Grid 1 Accent 6"/>
    <w:basedOn w:val="TableNormal"/>
    <w:uiPriority w:val="67"/>
    <w:semiHidden/>
    <w:unhideWhenUsed/>
    <w:rsid w:val="00BE28F6"/>
    <w:pPr>
      <w:spacing w:after="0" w:line="240" w:lineRule="auto"/>
    </w:pPr>
    <w:tblPr>
      <w:tblStyleRowBandSize w:val="1"/>
      <w:tblStyleColBandSize w:val="1"/>
      <w:tblBorders>
        <w:top w:val="single" w:sz="8" w:space="0" w:color="C3D1FF" w:themeColor="accent6" w:themeTint="BF"/>
        <w:left w:val="single" w:sz="8" w:space="0" w:color="C3D1FF" w:themeColor="accent6" w:themeTint="BF"/>
        <w:bottom w:val="single" w:sz="8" w:space="0" w:color="C3D1FF" w:themeColor="accent6" w:themeTint="BF"/>
        <w:right w:val="single" w:sz="8" w:space="0" w:color="C3D1FF" w:themeColor="accent6" w:themeTint="BF"/>
        <w:insideH w:val="single" w:sz="8" w:space="0" w:color="C3D1FF" w:themeColor="accent6" w:themeTint="BF"/>
        <w:insideV w:val="single" w:sz="8" w:space="0" w:color="C3D1FF" w:themeColor="accent6" w:themeTint="BF"/>
      </w:tblBorders>
    </w:tblPr>
    <w:tcPr>
      <w:shd w:val="clear" w:color="auto" w:fill="EBEFFF" w:themeFill="accent6" w:themeFillTint="3F"/>
    </w:tcPr>
    <w:tblStylePr w:type="firstRow">
      <w:rPr>
        <w:b/>
        <w:bCs/>
      </w:rPr>
    </w:tblStylePr>
    <w:tblStylePr w:type="lastRow">
      <w:rPr>
        <w:b/>
        <w:bCs/>
      </w:rPr>
      <w:tblPr/>
      <w:tcPr>
        <w:tcBorders>
          <w:top w:val="single" w:sz="18" w:space="0" w:color="C3D1FF" w:themeColor="accent6" w:themeTint="BF"/>
        </w:tcBorders>
      </w:tcPr>
    </w:tblStylePr>
    <w:tblStylePr w:type="firstCol">
      <w:rPr>
        <w:b/>
        <w:bCs/>
      </w:rPr>
    </w:tblStylePr>
    <w:tblStylePr w:type="lastCol">
      <w:rPr>
        <w:b/>
        <w:bCs/>
      </w:rPr>
    </w:tblStylePr>
    <w:tblStylePr w:type="band1Vert">
      <w:tblPr/>
      <w:tcPr>
        <w:shd w:val="clear" w:color="auto" w:fill="D7E0FF" w:themeFill="accent6" w:themeFillTint="7F"/>
      </w:tcPr>
    </w:tblStylePr>
    <w:tblStylePr w:type="band1Horz">
      <w:tblPr/>
      <w:tcPr>
        <w:shd w:val="clear" w:color="auto" w:fill="D7E0FF" w:themeFill="accent6" w:themeFillTint="7F"/>
      </w:tcPr>
    </w:tblStylePr>
  </w:style>
  <w:style w:type="table" w:styleId="MediumGrid2">
    <w:name w:val="Medium Grid 2"/>
    <w:basedOn w:val="TableNormal"/>
    <w:uiPriority w:val="68"/>
    <w:semiHidden/>
    <w:unhideWhenUsed/>
    <w:rsid w:val="00BE28F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BE28F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51C2C" w:themeColor="accent1"/>
        <w:left w:val="single" w:sz="8" w:space="0" w:color="051C2C" w:themeColor="accent1"/>
        <w:bottom w:val="single" w:sz="8" w:space="0" w:color="051C2C" w:themeColor="accent1"/>
        <w:right w:val="single" w:sz="8" w:space="0" w:color="051C2C" w:themeColor="accent1"/>
        <w:insideH w:val="single" w:sz="8" w:space="0" w:color="051C2C" w:themeColor="accent1"/>
        <w:insideV w:val="single" w:sz="8" w:space="0" w:color="051C2C" w:themeColor="accent1"/>
      </w:tblBorders>
    </w:tblPr>
    <w:tcPr>
      <w:shd w:val="clear" w:color="auto" w:fill="98CEF3" w:themeFill="accent1" w:themeFillTint="3F"/>
    </w:tcPr>
    <w:tblStylePr w:type="firstRow">
      <w:rPr>
        <w:b/>
        <w:bCs/>
        <w:color w:val="000000" w:themeColor="text1"/>
      </w:rPr>
      <w:tblPr/>
      <w:tcPr>
        <w:shd w:val="clear" w:color="auto" w:fill="D6EB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CD7F5" w:themeFill="accent1" w:themeFillTint="33"/>
      </w:tcPr>
    </w:tblStylePr>
    <w:tblStylePr w:type="band1Vert">
      <w:tblPr/>
      <w:tcPr>
        <w:shd w:val="clear" w:color="auto" w:fill="309CE7" w:themeFill="accent1" w:themeFillTint="7F"/>
      </w:tcPr>
    </w:tblStylePr>
    <w:tblStylePr w:type="band1Horz">
      <w:tblPr/>
      <w:tcPr>
        <w:tcBorders>
          <w:insideH w:val="single" w:sz="6" w:space="0" w:color="051C2C" w:themeColor="accent1"/>
          <w:insideV w:val="single" w:sz="6" w:space="0" w:color="051C2C" w:themeColor="accent1"/>
        </w:tcBorders>
        <w:shd w:val="clear" w:color="auto" w:fill="309CE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BE28F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9F4" w:themeColor="accent2"/>
        <w:left w:val="single" w:sz="8" w:space="0" w:color="00A9F4" w:themeColor="accent2"/>
        <w:bottom w:val="single" w:sz="8" w:space="0" w:color="00A9F4" w:themeColor="accent2"/>
        <w:right w:val="single" w:sz="8" w:space="0" w:color="00A9F4" w:themeColor="accent2"/>
        <w:insideH w:val="single" w:sz="8" w:space="0" w:color="00A9F4" w:themeColor="accent2"/>
        <w:insideV w:val="single" w:sz="8" w:space="0" w:color="00A9F4" w:themeColor="accent2"/>
      </w:tblBorders>
    </w:tblPr>
    <w:tcPr>
      <w:shd w:val="clear" w:color="auto" w:fill="BDEAFF" w:themeFill="accent2" w:themeFillTint="3F"/>
    </w:tcPr>
    <w:tblStylePr w:type="firstRow">
      <w:rPr>
        <w:b/>
        <w:bCs/>
        <w:color w:val="000000" w:themeColor="text1"/>
      </w:rPr>
      <w:tblPr/>
      <w:tcPr>
        <w:shd w:val="clear" w:color="auto" w:fill="E4F6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EEFF" w:themeFill="accent2" w:themeFillTint="33"/>
      </w:tcPr>
    </w:tblStylePr>
    <w:tblStylePr w:type="band1Vert">
      <w:tblPr/>
      <w:tcPr>
        <w:shd w:val="clear" w:color="auto" w:fill="7AD5FF" w:themeFill="accent2" w:themeFillTint="7F"/>
      </w:tcPr>
    </w:tblStylePr>
    <w:tblStylePr w:type="band1Horz">
      <w:tblPr/>
      <w:tcPr>
        <w:tcBorders>
          <w:insideH w:val="single" w:sz="6" w:space="0" w:color="00A9F4" w:themeColor="accent2"/>
          <w:insideV w:val="single" w:sz="6" w:space="0" w:color="00A9F4" w:themeColor="accent2"/>
        </w:tcBorders>
        <w:shd w:val="clear" w:color="auto" w:fill="7AD5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BE28F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251FF" w:themeColor="accent3"/>
        <w:left w:val="single" w:sz="8" w:space="0" w:color="2251FF" w:themeColor="accent3"/>
        <w:bottom w:val="single" w:sz="8" w:space="0" w:color="2251FF" w:themeColor="accent3"/>
        <w:right w:val="single" w:sz="8" w:space="0" w:color="2251FF" w:themeColor="accent3"/>
        <w:insideH w:val="single" w:sz="8" w:space="0" w:color="2251FF" w:themeColor="accent3"/>
        <w:insideV w:val="single" w:sz="8" w:space="0" w:color="2251FF" w:themeColor="accent3"/>
      </w:tblBorders>
    </w:tblPr>
    <w:tcPr>
      <w:shd w:val="clear" w:color="auto" w:fill="C8D3FF" w:themeFill="accent3" w:themeFillTint="3F"/>
    </w:tcPr>
    <w:tblStylePr w:type="firstRow">
      <w:rPr>
        <w:b/>
        <w:bCs/>
        <w:color w:val="000000" w:themeColor="text1"/>
      </w:rPr>
      <w:tblPr/>
      <w:tcPr>
        <w:shd w:val="clear" w:color="auto" w:fill="E9ED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DCFF" w:themeFill="accent3" w:themeFillTint="33"/>
      </w:tcPr>
    </w:tblStylePr>
    <w:tblStylePr w:type="band1Vert">
      <w:tblPr/>
      <w:tcPr>
        <w:shd w:val="clear" w:color="auto" w:fill="90A8FF" w:themeFill="accent3" w:themeFillTint="7F"/>
      </w:tcPr>
    </w:tblStylePr>
    <w:tblStylePr w:type="band1Horz">
      <w:tblPr/>
      <w:tcPr>
        <w:tcBorders>
          <w:insideH w:val="single" w:sz="6" w:space="0" w:color="2251FF" w:themeColor="accent3"/>
          <w:insideV w:val="single" w:sz="6" w:space="0" w:color="2251FF" w:themeColor="accent3"/>
        </w:tcBorders>
        <w:shd w:val="clear" w:color="auto" w:fill="90A8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BE28F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AE6F0" w:themeColor="accent4"/>
        <w:left w:val="single" w:sz="8" w:space="0" w:color="AAE6F0" w:themeColor="accent4"/>
        <w:bottom w:val="single" w:sz="8" w:space="0" w:color="AAE6F0" w:themeColor="accent4"/>
        <w:right w:val="single" w:sz="8" w:space="0" w:color="AAE6F0" w:themeColor="accent4"/>
        <w:insideH w:val="single" w:sz="8" w:space="0" w:color="AAE6F0" w:themeColor="accent4"/>
        <w:insideV w:val="single" w:sz="8" w:space="0" w:color="AAE6F0" w:themeColor="accent4"/>
      </w:tblBorders>
    </w:tblPr>
    <w:tcPr>
      <w:shd w:val="clear" w:color="auto" w:fill="E9F8FB" w:themeFill="accent4" w:themeFillTint="3F"/>
    </w:tcPr>
    <w:tblStylePr w:type="firstRow">
      <w:rPr>
        <w:b/>
        <w:bCs/>
        <w:color w:val="000000" w:themeColor="text1"/>
      </w:rPr>
      <w:tblPr/>
      <w:tcPr>
        <w:shd w:val="clear" w:color="auto" w:fill="F6FC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9FC" w:themeFill="accent4" w:themeFillTint="33"/>
      </w:tcPr>
    </w:tblStylePr>
    <w:tblStylePr w:type="band1Vert">
      <w:tblPr/>
      <w:tcPr>
        <w:shd w:val="clear" w:color="auto" w:fill="D4F2F7" w:themeFill="accent4" w:themeFillTint="7F"/>
      </w:tcPr>
    </w:tblStylePr>
    <w:tblStylePr w:type="band1Horz">
      <w:tblPr/>
      <w:tcPr>
        <w:tcBorders>
          <w:insideH w:val="single" w:sz="6" w:space="0" w:color="AAE6F0" w:themeColor="accent4"/>
          <w:insideV w:val="single" w:sz="6" w:space="0" w:color="AAE6F0" w:themeColor="accent4"/>
        </w:tcBorders>
        <w:shd w:val="clear" w:color="auto" w:fill="D4F2F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BE28F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96B4" w:themeColor="accent5"/>
        <w:left w:val="single" w:sz="8" w:space="0" w:color="3C96B4" w:themeColor="accent5"/>
        <w:bottom w:val="single" w:sz="8" w:space="0" w:color="3C96B4" w:themeColor="accent5"/>
        <w:right w:val="single" w:sz="8" w:space="0" w:color="3C96B4" w:themeColor="accent5"/>
        <w:insideH w:val="single" w:sz="8" w:space="0" w:color="3C96B4" w:themeColor="accent5"/>
        <w:insideV w:val="single" w:sz="8" w:space="0" w:color="3C96B4" w:themeColor="accent5"/>
      </w:tblBorders>
    </w:tblPr>
    <w:tcPr>
      <w:shd w:val="clear" w:color="auto" w:fill="CCE5EE" w:themeFill="accent5" w:themeFillTint="3F"/>
    </w:tcPr>
    <w:tblStylePr w:type="firstRow">
      <w:rPr>
        <w:b/>
        <w:bCs/>
        <w:color w:val="000000" w:themeColor="text1"/>
      </w:rPr>
      <w:tblPr/>
      <w:tcPr>
        <w:shd w:val="clear" w:color="auto" w:fill="EBF4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EAF1" w:themeFill="accent5" w:themeFillTint="33"/>
      </w:tcPr>
    </w:tblStylePr>
    <w:tblStylePr w:type="band1Vert">
      <w:tblPr/>
      <w:tcPr>
        <w:shd w:val="clear" w:color="auto" w:fill="9ACCDD" w:themeFill="accent5" w:themeFillTint="7F"/>
      </w:tcPr>
    </w:tblStylePr>
    <w:tblStylePr w:type="band1Horz">
      <w:tblPr/>
      <w:tcPr>
        <w:tcBorders>
          <w:insideH w:val="single" w:sz="6" w:space="0" w:color="3C96B4" w:themeColor="accent5"/>
          <w:insideV w:val="single" w:sz="6" w:space="0" w:color="3C96B4" w:themeColor="accent5"/>
        </w:tcBorders>
        <w:shd w:val="clear" w:color="auto" w:fill="9ACCD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BE28F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FC3FF" w:themeColor="accent6"/>
        <w:left w:val="single" w:sz="8" w:space="0" w:color="AFC3FF" w:themeColor="accent6"/>
        <w:bottom w:val="single" w:sz="8" w:space="0" w:color="AFC3FF" w:themeColor="accent6"/>
        <w:right w:val="single" w:sz="8" w:space="0" w:color="AFC3FF" w:themeColor="accent6"/>
        <w:insideH w:val="single" w:sz="8" w:space="0" w:color="AFC3FF" w:themeColor="accent6"/>
        <w:insideV w:val="single" w:sz="8" w:space="0" w:color="AFC3FF" w:themeColor="accent6"/>
      </w:tblBorders>
    </w:tblPr>
    <w:tcPr>
      <w:shd w:val="clear" w:color="auto" w:fill="EBEFFF" w:themeFill="accent6" w:themeFillTint="3F"/>
    </w:tcPr>
    <w:tblStylePr w:type="firstRow">
      <w:rPr>
        <w:b/>
        <w:bCs/>
        <w:color w:val="000000" w:themeColor="text1"/>
      </w:rPr>
      <w:tblPr/>
      <w:tcPr>
        <w:shd w:val="clear" w:color="auto" w:fill="F7F8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2FF" w:themeFill="accent6" w:themeFillTint="33"/>
      </w:tcPr>
    </w:tblStylePr>
    <w:tblStylePr w:type="band1Vert">
      <w:tblPr/>
      <w:tcPr>
        <w:shd w:val="clear" w:color="auto" w:fill="D7E0FF" w:themeFill="accent6" w:themeFillTint="7F"/>
      </w:tcPr>
    </w:tblStylePr>
    <w:tblStylePr w:type="band1Horz">
      <w:tblPr/>
      <w:tcPr>
        <w:tcBorders>
          <w:insideH w:val="single" w:sz="6" w:space="0" w:color="AFC3FF" w:themeColor="accent6"/>
          <w:insideV w:val="single" w:sz="6" w:space="0" w:color="AFC3FF" w:themeColor="accent6"/>
        </w:tcBorders>
        <w:shd w:val="clear" w:color="auto" w:fill="D7E0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BE28F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BE28F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8CEF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51C2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51C2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51C2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51C2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09CE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09CE7" w:themeFill="accent1" w:themeFillTint="7F"/>
      </w:tcPr>
    </w:tblStylePr>
  </w:style>
  <w:style w:type="table" w:styleId="MediumGrid3-Accent2">
    <w:name w:val="Medium Grid 3 Accent 2"/>
    <w:basedOn w:val="TableNormal"/>
    <w:uiPriority w:val="69"/>
    <w:semiHidden/>
    <w:unhideWhenUsed/>
    <w:rsid w:val="00BE28F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A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9F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9F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9F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9F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D5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D5FF" w:themeFill="accent2" w:themeFillTint="7F"/>
      </w:tcPr>
    </w:tblStylePr>
  </w:style>
  <w:style w:type="table" w:styleId="MediumGrid3-Accent3">
    <w:name w:val="Medium Grid 3 Accent 3"/>
    <w:basedOn w:val="TableNormal"/>
    <w:uiPriority w:val="69"/>
    <w:semiHidden/>
    <w:unhideWhenUsed/>
    <w:rsid w:val="00BE28F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D3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251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251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251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251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0A8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0A8FF" w:themeFill="accent3" w:themeFillTint="7F"/>
      </w:tcPr>
    </w:tblStylePr>
  </w:style>
  <w:style w:type="table" w:styleId="MediumGrid3-Accent4">
    <w:name w:val="Medium Grid 3 Accent 4"/>
    <w:basedOn w:val="TableNormal"/>
    <w:uiPriority w:val="69"/>
    <w:semiHidden/>
    <w:unhideWhenUsed/>
    <w:rsid w:val="00BE28F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8F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E6F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E6F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E6F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E6F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F2F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F2F7" w:themeFill="accent4" w:themeFillTint="7F"/>
      </w:tcPr>
    </w:tblStylePr>
  </w:style>
  <w:style w:type="table" w:styleId="MediumGrid3-Accent5">
    <w:name w:val="Medium Grid 3 Accent 5"/>
    <w:basedOn w:val="TableNormal"/>
    <w:uiPriority w:val="69"/>
    <w:semiHidden/>
    <w:unhideWhenUsed/>
    <w:rsid w:val="00BE28F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5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96B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96B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96B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96B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C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CDD" w:themeFill="accent5" w:themeFillTint="7F"/>
      </w:tcPr>
    </w:tblStylePr>
  </w:style>
  <w:style w:type="table" w:styleId="MediumGrid3-Accent6">
    <w:name w:val="Medium Grid 3 Accent 6"/>
    <w:basedOn w:val="TableNormal"/>
    <w:uiPriority w:val="69"/>
    <w:semiHidden/>
    <w:unhideWhenUsed/>
    <w:rsid w:val="00BE28F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F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FC3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FC3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FC3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FC3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E0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E0FF" w:themeFill="accent6" w:themeFillTint="7F"/>
      </w:tcPr>
    </w:tblStylePr>
  </w:style>
  <w:style w:type="table" w:styleId="MediumList1">
    <w:name w:val="Medium List 1"/>
    <w:basedOn w:val="TableNormal"/>
    <w:uiPriority w:val="65"/>
    <w:semiHidden/>
    <w:unhideWhenUsed/>
    <w:rsid w:val="00BE28F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51C2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BE28F6"/>
    <w:pPr>
      <w:spacing w:after="0" w:line="240" w:lineRule="auto"/>
    </w:pPr>
    <w:rPr>
      <w:color w:val="000000" w:themeColor="text1"/>
    </w:rPr>
    <w:tblPr>
      <w:tblStyleRowBandSize w:val="1"/>
      <w:tblStyleColBandSize w:val="1"/>
      <w:tblBorders>
        <w:top w:val="single" w:sz="8" w:space="0" w:color="051C2C" w:themeColor="accent1"/>
        <w:bottom w:val="single" w:sz="8" w:space="0" w:color="051C2C" w:themeColor="accent1"/>
      </w:tblBorders>
    </w:tblPr>
    <w:tblStylePr w:type="firstRow">
      <w:rPr>
        <w:rFonts w:asciiTheme="majorHAnsi" w:eastAsiaTheme="majorEastAsia" w:hAnsiTheme="majorHAnsi" w:cstheme="majorBidi"/>
      </w:rPr>
      <w:tblPr/>
      <w:tcPr>
        <w:tcBorders>
          <w:top w:val="nil"/>
          <w:bottom w:val="single" w:sz="8" w:space="0" w:color="051C2C" w:themeColor="accent1"/>
        </w:tcBorders>
      </w:tcPr>
    </w:tblStylePr>
    <w:tblStylePr w:type="lastRow">
      <w:rPr>
        <w:b/>
        <w:bCs/>
        <w:color w:val="051C2C" w:themeColor="text2"/>
      </w:rPr>
      <w:tblPr/>
      <w:tcPr>
        <w:tcBorders>
          <w:top w:val="single" w:sz="8" w:space="0" w:color="051C2C" w:themeColor="accent1"/>
          <w:bottom w:val="single" w:sz="8" w:space="0" w:color="051C2C" w:themeColor="accent1"/>
        </w:tcBorders>
      </w:tcPr>
    </w:tblStylePr>
    <w:tblStylePr w:type="firstCol">
      <w:rPr>
        <w:b/>
        <w:bCs/>
      </w:rPr>
    </w:tblStylePr>
    <w:tblStylePr w:type="lastCol">
      <w:rPr>
        <w:b/>
        <w:bCs/>
      </w:rPr>
      <w:tblPr/>
      <w:tcPr>
        <w:tcBorders>
          <w:top w:val="single" w:sz="8" w:space="0" w:color="051C2C" w:themeColor="accent1"/>
          <w:bottom w:val="single" w:sz="8" w:space="0" w:color="051C2C" w:themeColor="accent1"/>
        </w:tcBorders>
      </w:tcPr>
    </w:tblStylePr>
    <w:tblStylePr w:type="band1Vert">
      <w:tblPr/>
      <w:tcPr>
        <w:shd w:val="clear" w:color="auto" w:fill="98CEF3" w:themeFill="accent1" w:themeFillTint="3F"/>
      </w:tcPr>
    </w:tblStylePr>
    <w:tblStylePr w:type="band1Horz">
      <w:tblPr/>
      <w:tcPr>
        <w:shd w:val="clear" w:color="auto" w:fill="98CEF3" w:themeFill="accent1" w:themeFillTint="3F"/>
      </w:tcPr>
    </w:tblStylePr>
  </w:style>
  <w:style w:type="table" w:styleId="MediumList1-Accent2">
    <w:name w:val="Medium List 1 Accent 2"/>
    <w:basedOn w:val="TableNormal"/>
    <w:uiPriority w:val="65"/>
    <w:semiHidden/>
    <w:unhideWhenUsed/>
    <w:rsid w:val="00BE28F6"/>
    <w:pPr>
      <w:spacing w:after="0" w:line="240" w:lineRule="auto"/>
    </w:pPr>
    <w:rPr>
      <w:color w:val="000000" w:themeColor="text1"/>
    </w:rPr>
    <w:tblPr>
      <w:tblStyleRowBandSize w:val="1"/>
      <w:tblStyleColBandSize w:val="1"/>
      <w:tblBorders>
        <w:top w:val="single" w:sz="8" w:space="0" w:color="00A9F4" w:themeColor="accent2"/>
        <w:bottom w:val="single" w:sz="8" w:space="0" w:color="00A9F4" w:themeColor="accent2"/>
      </w:tblBorders>
    </w:tblPr>
    <w:tblStylePr w:type="firstRow">
      <w:rPr>
        <w:rFonts w:asciiTheme="majorHAnsi" w:eastAsiaTheme="majorEastAsia" w:hAnsiTheme="majorHAnsi" w:cstheme="majorBidi"/>
      </w:rPr>
      <w:tblPr/>
      <w:tcPr>
        <w:tcBorders>
          <w:top w:val="nil"/>
          <w:bottom w:val="single" w:sz="8" w:space="0" w:color="00A9F4" w:themeColor="accent2"/>
        </w:tcBorders>
      </w:tcPr>
    </w:tblStylePr>
    <w:tblStylePr w:type="lastRow">
      <w:rPr>
        <w:b/>
        <w:bCs/>
        <w:color w:val="051C2C" w:themeColor="text2"/>
      </w:rPr>
      <w:tblPr/>
      <w:tcPr>
        <w:tcBorders>
          <w:top w:val="single" w:sz="8" w:space="0" w:color="00A9F4" w:themeColor="accent2"/>
          <w:bottom w:val="single" w:sz="8" w:space="0" w:color="00A9F4" w:themeColor="accent2"/>
        </w:tcBorders>
      </w:tcPr>
    </w:tblStylePr>
    <w:tblStylePr w:type="firstCol">
      <w:rPr>
        <w:b/>
        <w:bCs/>
      </w:rPr>
    </w:tblStylePr>
    <w:tblStylePr w:type="lastCol">
      <w:rPr>
        <w:b/>
        <w:bCs/>
      </w:rPr>
      <w:tblPr/>
      <w:tcPr>
        <w:tcBorders>
          <w:top w:val="single" w:sz="8" w:space="0" w:color="00A9F4" w:themeColor="accent2"/>
          <w:bottom w:val="single" w:sz="8" w:space="0" w:color="00A9F4" w:themeColor="accent2"/>
        </w:tcBorders>
      </w:tcPr>
    </w:tblStylePr>
    <w:tblStylePr w:type="band1Vert">
      <w:tblPr/>
      <w:tcPr>
        <w:shd w:val="clear" w:color="auto" w:fill="BDEAFF" w:themeFill="accent2" w:themeFillTint="3F"/>
      </w:tcPr>
    </w:tblStylePr>
    <w:tblStylePr w:type="band1Horz">
      <w:tblPr/>
      <w:tcPr>
        <w:shd w:val="clear" w:color="auto" w:fill="BDEAFF" w:themeFill="accent2" w:themeFillTint="3F"/>
      </w:tcPr>
    </w:tblStylePr>
  </w:style>
  <w:style w:type="table" w:styleId="MediumList1-Accent3">
    <w:name w:val="Medium List 1 Accent 3"/>
    <w:basedOn w:val="TableNormal"/>
    <w:uiPriority w:val="65"/>
    <w:semiHidden/>
    <w:unhideWhenUsed/>
    <w:rsid w:val="00BE28F6"/>
    <w:pPr>
      <w:spacing w:after="0" w:line="240" w:lineRule="auto"/>
    </w:pPr>
    <w:rPr>
      <w:color w:val="000000" w:themeColor="text1"/>
    </w:rPr>
    <w:tblPr>
      <w:tblStyleRowBandSize w:val="1"/>
      <w:tblStyleColBandSize w:val="1"/>
      <w:tblBorders>
        <w:top w:val="single" w:sz="8" w:space="0" w:color="2251FF" w:themeColor="accent3"/>
        <w:bottom w:val="single" w:sz="8" w:space="0" w:color="2251FF" w:themeColor="accent3"/>
      </w:tblBorders>
    </w:tblPr>
    <w:tblStylePr w:type="firstRow">
      <w:rPr>
        <w:rFonts w:asciiTheme="majorHAnsi" w:eastAsiaTheme="majorEastAsia" w:hAnsiTheme="majorHAnsi" w:cstheme="majorBidi"/>
      </w:rPr>
      <w:tblPr/>
      <w:tcPr>
        <w:tcBorders>
          <w:top w:val="nil"/>
          <w:bottom w:val="single" w:sz="8" w:space="0" w:color="2251FF" w:themeColor="accent3"/>
        </w:tcBorders>
      </w:tcPr>
    </w:tblStylePr>
    <w:tblStylePr w:type="lastRow">
      <w:rPr>
        <w:b/>
        <w:bCs/>
        <w:color w:val="051C2C" w:themeColor="text2"/>
      </w:rPr>
      <w:tblPr/>
      <w:tcPr>
        <w:tcBorders>
          <w:top w:val="single" w:sz="8" w:space="0" w:color="2251FF" w:themeColor="accent3"/>
          <w:bottom w:val="single" w:sz="8" w:space="0" w:color="2251FF" w:themeColor="accent3"/>
        </w:tcBorders>
      </w:tcPr>
    </w:tblStylePr>
    <w:tblStylePr w:type="firstCol">
      <w:rPr>
        <w:b/>
        <w:bCs/>
      </w:rPr>
    </w:tblStylePr>
    <w:tblStylePr w:type="lastCol">
      <w:rPr>
        <w:b/>
        <w:bCs/>
      </w:rPr>
      <w:tblPr/>
      <w:tcPr>
        <w:tcBorders>
          <w:top w:val="single" w:sz="8" w:space="0" w:color="2251FF" w:themeColor="accent3"/>
          <w:bottom w:val="single" w:sz="8" w:space="0" w:color="2251FF" w:themeColor="accent3"/>
        </w:tcBorders>
      </w:tcPr>
    </w:tblStylePr>
    <w:tblStylePr w:type="band1Vert">
      <w:tblPr/>
      <w:tcPr>
        <w:shd w:val="clear" w:color="auto" w:fill="C8D3FF" w:themeFill="accent3" w:themeFillTint="3F"/>
      </w:tcPr>
    </w:tblStylePr>
    <w:tblStylePr w:type="band1Horz">
      <w:tblPr/>
      <w:tcPr>
        <w:shd w:val="clear" w:color="auto" w:fill="C8D3FF" w:themeFill="accent3" w:themeFillTint="3F"/>
      </w:tcPr>
    </w:tblStylePr>
  </w:style>
  <w:style w:type="table" w:styleId="MediumList1-Accent4">
    <w:name w:val="Medium List 1 Accent 4"/>
    <w:basedOn w:val="TableNormal"/>
    <w:uiPriority w:val="65"/>
    <w:semiHidden/>
    <w:unhideWhenUsed/>
    <w:rsid w:val="00BE28F6"/>
    <w:pPr>
      <w:spacing w:after="0" w:line="240" w:lineRule="auto"/>
    </w:pPr>
    <w:rPr>
      <w:color w:val="000000" w:themeColor="text1"/>
    </w:rPr>
    <w:tblPr>
      <w:tblStyleRowBandSize w:val="1"/>
      <w:tblStyleColBandSize w:val="1"/>
      <w:tblBorders>
        <w:top w:val="single" w:sz="8" w:space="0" w:color="AAE6F0" w:themeColor="accent4"/>
        <w:bottom w:val="single" w:sz="8" w:space="0" w:color="AAE6F0" w:themeColor="accent4"/>
      </w:tblBorders>
    </w:tblPr>
    <w:tblStylePr w:type="firstRow">
      <w:rPr>
        <w:rFonts w:asciiTheme="majorHAnsi" w:eastAsiaTheme="majorEastAsia" w:hAnsiTheme="majorHAnsi" w:cstheme="majorBidi"/>
      </w:rPr>
      <w:tblPr/>
      <w:tcPr>
        <w:tcBorders>
          <w:top w:val="nil"/>
          <w:bottom w:val="single" w:sz="8" w:space="0" w:color="AAE6F0" w:themeColor="accent4"/>
        </w:tcBorders>
      </w:tcPr>
    </w:tblStylePr>
    <w:tblStylePr w:type="lastRow">
      <w:rPr>
        <w:b/>
        <w:bCs/>
        <w:color w:val="051C2C" w:themeColor="text2"/>
      </w:rPr>
      <w:tblPr/>
      <w:tcPr>
        <w:tcBorders>
          <w:top w:val="single" w:sz="8" w:space="0" w:color="AAE6F0" w:themeColor="accent4"/>
          <w:bottom w:val="single" w:sz="8" w:space="0" w:color="AAE6F0" w:themeColor="accent4"/>
        </w:tcBorders>
      </w:tcPr>
    </w:tblStylePr>
    <w:tblStylePr w:type="firstCol">
      <w:rPr>
        <w:b/>
        <w:bCs/>
      </w:rPr>
    </w:tblStylePr>
    <w:tblStylePr w:type="lastCol">
      <w:rPr>
        <w:b/>
        <w:bCs/>
      </w:rPr>
      <w:tblPr/>
      <w:tcPr>
        <w:tcBorders>
          <w:top w:val="single" w:sz="8" w:space="0" w:color="AAE6F0" w:themeColor="accent4"/>
          <w:bottom w:val="single" w:sz="8" w:space="0" w:color="AAE6F0" w:themeColor="accent4"/>
        </w:tcBorders>
      </w:tcPr>
    </w:tblStylePr>
    <w:tblStylePr w:type="band1Vert">
      <w:tblPr/>
      <w:tcPr>
        <w:shd w:val="clear" w:color="auto" w:fill="E9F8FB" w:themeFill="accent4" w:themeFillTint="3F"/>
      </w:tcPr>
    </w:tblStylePr>
    <w:tblStylePr w:type="band1Horz">
      <w:tblPr/>
      <w:tcPr>
        <w:shd w:val="clear" w:color="auto" w:fill="E9F8FB" w:themeFill="accent4" w:themeFillTint="3F"/>
      </w:tcPr>
    </w:tblStylePr>
  </w:style>
  <w:style w:type="table" w:styleId="MediumList1-Accent5">
    <w:name w:val="Medium List 1 Accent 5"/>
    <w:basedOn w:val="TableNormal"/>
    <w:uiPriority w:val="65"/>
    <w:semiHidden/>
    <w:unhideWhenUsed/>
    <w:rsid w:val="00BE28F6"/>
    <w:pPr>
      <w:spacing w:after="0" w:line="240" w:lineRule="auto"/>
    </w:pPr>
    <w:rPr>
      <w:color w:val="000000" w:themeColor="text1"/>
    </w:rPr>
    <w:tblPr>
      <w:tblStyleRowBandSize w:val="1"/>
      <w:tblStyleColBandSize w:val="1"/>
      <w:tblBorders>
        <w:top w:val="single" w:sz="8" w:space="0" w:color="3C96B4" w:themeColor="accent5"/>
        <w:bottom w:val="single" w:sz="8" w:space="0" w:color="3C96B4" w:themeColor="accent5"/>
      </w:tblBorders>
    </w:tblPr>
    <w:tblStylePr w:type="firstRow">
      <w:rPr>
        <w:rFonts w:asciiTheme="majorHAnsi" w:eastAsiaTheme="majorEastAsia" w:hAnsiTheme="majorHAnsi" w:cstheme="majorBidi"/>
      </w:rPr>
      <w:tblPr/>
      <w:tcPr>
        <w:tcBorders>
          <w:top w:val="nil"/>
          <w:bottom w:val="single" w:sz="8" w:space="0" w:color="3C96B4" w:themeColor="accent5"/>
        </w:tcBorders>
      </w:tcPr>
    </w:tblStylePr>
    <w:tblStylePr w:type="lastRow">
      <w:rPr>
        <w:b/>
        <w:bCs/>
        <w:color w:val="051C2C" w:themeColor="text2"/>
      </w:rPr>
      <w:tblPr/>
      <w:tcPr>
        <w:tcBorders>
          <w:top w:val="single" w:sz="8" w:space="0" w:color="3C96B4" w:themeColor="accent5"/>
          <w:bottom w:val="single" w:sz="8" w:space="0" w:color="3C96B4" w:themeColor="accent5"/>
        </w:tcBorders>
      </w:tcPr>
    </w:tblStylePr>
    <w:tblStylePr w:type="firstCol">
      <w:rPr>
        <w:b/>
        <w:bCs/>
      </w:rPr>
    </w:tblStylePr>
    <w:tblStylePr w:type="lastCol">
      <w:rPr>
        <w:b/>
        <w:bCs/>
      </w:rPr>
      <w:tblPr/>
      <w:tcPr>
        <w:tcBorders>
          <w:top w:val="single" w:sz="8" w:space="0" w:color="3C96B4" w:themeColor="accent5"/>
          <w:bottom w:val="single" w:sz="8" w:space="0" w:color="3C96B4" w:themeColor="accent5"/>
        </w:tcBorders>
      </w:tcPr>
    </w:tblStylePr>
    <w:tblStylePr w:type="band1Vert">
      <w:tblPr/>
      <w:tcPr>
        <w:shd w:val="clear" w:color="auto" w:fill="CCE5EE" w:themeFill="accent5" w:themeFillTint="3F"/>
      </w:tcPr>
    </w:tblStylePr>
    <w:tblStylePr w:type="band1Horz">
      <w:tblPr/>
      <w:tcPr>
        <w:shd w:val="clear" w:color="auto" w:fill="CCE5EE" w:themeFill="accent5" w:themeFillTint="3F"/>
      </w:tcPr>
    </w:tblStylePr>
  </w:style>
  <w:style w:type="table" w:styleId="MediumList1-Accent6">
    <w:name w:val="Medium List 1 Accent 6"/>
    <w:basedOn w:val="TableNormal"/>
    <w:uiPriority w:val="65"/>
    <w:semiHidden/>
    <w:unhideWhenUsed/>
    <w:rsid w:val="00BE28F6"/>
    <w:pPr>
      <w:spacing w:after="0" w:line="240" w:lineRule="auto"/>
    </w:pPr>
    <w:rPr>
      <w:color w:val="000000" w:themeColor="text1"/>
    </w:rPr>
    <w:tblPr>
      <w:tblStyleRowBandSize w:val="1"/>
      <w:tblStyleColBandSize w:val="1"/>
      <w:tblBorders>
        <w:top w:val="single" w:sz="8" w:space="0" w:color="AFC3FF" w:themeColor="accent6"/>
        <w:bottom w:val="single" w:sz="8" w:space="0" w:color="AFC3FF" w:themeColor="accent6"/>
      </w:tblBorders>
    </w:tblPr>
    <w:tblStylePr w:type="firstRow">
      <w:rPr>
        <w:rFonts w:asciiTheme="majorHAnsi" w:eastAsiaTheme="majorEastAsia" w:hAnsiTheme="majorHAnsi" w:cstheme="majorBidi"/>
      </w:rPr>
      <w:tblPr/>
      <w:tcPr>
        <w:tcBorders>
          <w:top w:val="nil"/>
          <w:bottom w:val="single" w:sz="8" w:space="0" w:color="AFC3FF" w:themeColor="accent6"/>
        </w:tcBorders>
      </w:tcPr>
    </w:tblStylePr>
    <w:tblStylePr w:type="lastRow">
      <w:rPr>
        <w:b/>
        <w:bCs/>
        <w:color w:val="051C2C" w:themeColor="text2"/>
      </w:rPr>
      <w:tblPr/>
      <w:tcPr>
        <w:tcBorders>
          <w:top w:val="single" w:sz="8" w:space="0" w:color="AFC3FF" w:themeColor="accent6"/>
          <w:bottom w:val="single" w:sz="8" w:space="0" w:color="AFC3FF" w:themeColor="accent6"/>
        </w:tcBorders>
      </w:tcPr>
    </w:tblStylePr>
    <w:tblStylePr w:type="firstCol">
      <w:rPr>
        <w:b/>
        <w:bCs/>
      </w:rPr>
    </w:tblStylePr>
    <w:tblStylePr w:type="lastCol">
      <w:rPr>
        <w:b/>
        <w:bCs/>
      </w:rPr>
      <w:tblPr/>
      <w:tcPr>
        <w:tcBorders>
          <w:top w:val="single" w:sz="8" w:space="0" w:color="AFC3FF" w:themeColor="accent6"/>
          <w:bottom w:val="single" w:sz="8" w:space="0" w:color="AFC3FF" w:themeColor="accent6"/>
        </w:tcBorders>
      </w:tcPr>
    </w:tblStylePr>
    <w:tblStylePr w:type="band1Vert">
      <w:tblPr/>
      <w:tcPr>
        <w:shd w:val="clear" w:color="auto" w:fill="EBEFFF" w:themeFill="accent6" w:themeFillTint="3F"/>
      </w:tcPr>
    </w:tblStylePr>
    <w:tblStylePr w:type="band1Horz">
      <w:tblPr/>
      <w:tcPr>
        <w:shd w:val="clear" w:color="auto" w:fill="EBEFFF" w:themeFill="accent6" w:themeFillTint="3F"/>
      </w:tcPr>
    </w:tblStylePr>
  </w:style>
  <w:style w:type="table" w:styleId="MediumList2">
    <w:name w:val="Medium List 2"/>
    <w:basedOn w:val="TableNormal"/>
    <w:uiPriority w:val="66"/>
    <w:semiHidden/>
    <w:unhideWhenUsed/>
    <w:rsid w:val="00BE28F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BE28F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51C2C" w:themeColor="accent1"/>
        <w:left w:val="single" w:sz="8" w:space="0" w:color="051C2C" w:themeColor="accent1"/>
        <w:bottom w:val="single" w:sz="8" w:space="0" w:color="051C2C" w:themeColor="accent1"/>
        <w:right w:val="single" w:sz="8" w:space="0" w:color="051C2C" w:themeColor="accent1"/>
      </w:tblBorders>
    </w:tblPr>
    <w:tblStylePr w:type="firstRow">
      <w:rPr>
        <w:sz w:val="24"/>
        <w:szCs w:val="24"/>
      </w:rPr>
      <w:tblPr/>
      <w:tcPr>
        <w:tcBorders>
          <w:top w:val="nil"/>
          <w:left w:val="nil"/>
          <w:bottom w:val="single" w:sz="24" w:space="0" w:color="051C2C" w:themeColor="accent1"/>
          <w:right w:val="nil"/>
          <w:insideH w:val="nil"/>
          <w:insideV w:val="nil"/>
        </w:tcBorders>
        <w:shd w:val="clear" w:color="auto" w:fill="FFFFFF" w:themeFill="background1"/>
      </w:tcPr>
    </w:tblStylePr>
    <w:tblStylePr w:type="lastRow">
      <w:tblPr/>
      <w:tcPr>
        <w:tcBorders>
          <w:top w:val="single" w:sz="8" w:space="0" w:color="051C2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1C2C" w:themeColor="accent1"/>
          <w:insideH w:val="nil"/>
          <w:insideV w:val="nil"/>
        </w:tcBorders>
        <w:shd w:val="clear" w:color="auto" w:fill="FFFFFF" w:themeFill="background1"/>
      </w:tcPr>
    </w:tblStylePr>
    <w:tblStylePr w:type="lastCol">
      <w:tblPr/>
      <w:tcPr>
        <w:tcBorders>
          <w:top w:val="nil"/>
          <w:left w:val="single" w:sz="8" w:space="0" w:color="051C2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8CEF3" w:themeFill="accent1" w:themeFillTint="3F"/>
      </w:tcPr>
    </w:tblStylePr>
    <w:tblStylePr w:type="band1Horz">
      <w:tblPr/>
      <w:tcPr>
        <w:tcBorders>
          <w:top w:val="nil"/>
          <w:bottom w:val="nil"/>
          <w:insideH w:val="nil"/>
          <w:insideV w:val="nil"/>
        </w:tcBorders>
        <w:shd w:val="clear" w:color="auto" w:fill="98CEF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BE28F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9F4" w:themeColor="accent2"/>
        <w:left w:val="single" w:sz="8" w:space="0" w:color="00A9F4" w:themeColor="accent2"/>
        <w:bottom w:val="single" w:sz="8" w:space="0" w:color="00A9F4" w:themeColor="accent2"/>
        <w:right w:val="single" w:sz="8" w:space="0" w:color="00A9F4" w:themeColor="accent2"/>
      </w:tblBorders>
    </w:tblPr>
    <w:tblStylePr w:type="firstRow">
      <w:rPr>
        <w:sz w:val="24"/>
        <w:szCs w:val="24"/>
      </w:rPr>
      <w:tblPr/>
      <w:tcPr>
        <w:tcBorders>
          <w:top w:val="nil"/>
          <w:left w:val="nil"/>
          <w:bottom w:val="single" w:sz="24" w:space="0" w:color="00A9F4" w:themeColor="accent2"/>
          <w:right w:val="nil"/>
          <w:insideH w:val="nil"/>
          <w:insideV w:val="nil"/>
        </w:tcBorders>
        <w:shd w:val="clear" w:color="auto" w:fill="FFFFFF" w:themeFill="background1"/>
      </w:tcPr>
    </w:tblStylePr>
    <w:tblStylePr w:type="lastRow">
      <w:tblPr/>
      <w:tcPr>
        <w:tcBorders>
          <w:top w:val="single" w:sz="8" w:space="0" w:color="00A9F4"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9F4" w:themeColor="accent2"/>
          <w:insideH w:val="nil"/>
          <w:insideV w:val="nil"/>
        </w:tcBorders>
        <w:shd w:val="clear" w:color="auto" w:fill="FFFFFF" w:themeFill="background1"/>
      </w:tcPr>
    </w:tblStylePr>
    <w:tblStylePr w:type="lastCol">
      <w:tblPr/>
      <w:tcPr>
        <w:tcBorders>
          <w:top w:val="nil"/>
          <w:left w:val="single" w:sz="8" w:space="0" w:color="00A9F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AFF" w:themeFill="accent2" w:themeFillTint="3F"/>
      </w:tcPr>
    </w:tblStylePr>
    <w:tblStylePr w:type="band1Horz">
      <w:tblPr/>
      <w:tcPr>
        <w:tcBorders>
          <w:top w:val="nil"/>
          <w:bottom w:val="nil"/>
          <w:insideH w:val="nil"/>
          <w:insideV w:val="nil"/>
        </w:tcBorders>
        <w:shd w:val="clear" w:color="auto" w:fill="BDEA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BE28F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251FF" w:themeColor="accent3"/>
        <w:left w:val="single" w:sz="8" w:space="0" w:color="2251FF" w:themeColor="accent3"/>
        <w:bottom w:val="single" w:sz="8" w:space="0" w:color="2251FF" w:themeColor="accent3"/>
        <w:right w:val="single" w:sz="8" w:space="0" w:color="2251FF" w:themeColor="accent3"/>
      </w:tblBorders>
    </w:tblPr>
    <w:tblStylePr w:type="firstRow">
      <w:rPr>
        <w:sz w:val="24"/>
        <w:szCs w:val="24"/>
      </w:rPr>
      <w:tblPr/>
      <w:tcPr>
        <w:tcBorders>
          <w:top w:val="nil"/>
          <w:left w:val="nil"/>
          <w:bottom w:val="single" w:sz="24" w:space="0" w:color="2251FF" w:themeColor="accent3"/>
          <w:right w:val="nil"/>
          <w:insideH w:val="nil"/>
          <w:insideV w:val="nil"/>
        </w:tcBorders>
        <w:shd w:val="clear" w:color="auto" w:fill="FFFFFF" w:themeFill="background1"/>
      </w:tcPr>
    </w:tblStylePr>
    <w:tblStylePr w:type="lastRow">
      <w:tblPr/>
      <w:tcPr>
        <w:tcBorders>
          <w:top w:val="single" w:sz="8" w:space="0" w:color="2251F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251FF" w:themeColor="accent3"/>
          <w:insideH w:val="nil"/>
          <w:insideV w:val="nil"/>
        </w:tcBorders>
        <w:shd w:val="clear" w:color="auto" w:fill="FFFFFF" w:themeFill="background1"/>
      </w:tcPr>
    </w:tblStylePr>
    <w:tblStylePr w:type="lastCol">
      <w:tblPr/>
      <w:tcPr>
        <w:tcBorders>
          <w:top w:val="nil"/>
          <w:left w:val="single" w:sz="8" w:space="0" w:color="2251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D3FF" w:themeFill="accent3" w:themeFillTint="3F"/>
      </w:tcPr>
    </w:tblStylePr>
    <w:tblStylePr w:type="band1Horz">
      <w:tblPr/>
      <w:tcPr>
        <w:tcBorders>
          <w:top w:val="nil"/>
          <w:bottom w:val="nil"/>
          <w:insideH w:val="nil"/>
          <w:insideV w:val="nil"/>
        </w:tcBorders>
        <w:shd w:val="clear" w:color="auto" w:fill="C8D3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BE28F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AE6F0" w:themeColor="accent4"/>
        <w:left w:val="single" w:sz="8" w:space="0" w:color="AAE6F0" w:themeColor="accent4"/>
        <w:bottom w:val="single" w:sz="8" w:space="0" w:color="AAE6F0" w:themeColor="accent4"/>
        <w:right w:val="single" w:sz="8" w:space="0" w:color="AAE6F0" w:themeColor="accent4"/>
      </w:tblBorders>
    </w:tblPr>
    <w:tblStylePr w:type="firstRow">
      <w:rPr>
        <w:sz w:val="24"/>
        <w:szCs w:val="24"/>
      </w:rPr>
      <w:tblPr/>
      <w:tcPr>
        <w:tcBorders>
          <w:top w:val="nil"/>
          <w:left w:val="nil"/>
          <w:bottom w:val="single" w:sz="24" w:space="0" w:color="AAE6F0" w:themeColor="accent4"/>
          <w:right w:val="nil"/>
          <w:insideH w:val="nil"/>
          <w:insideV w:val="nil"/>
        </w:tcBorders>
        <w:shd w:val="clear" w:color="auto" w:fill="FFFFFF" w:themeFill="background1"/>
      </w:tcPr>
    </w:tblStylePr>
    <w:tblStylePr w:type="lastRow">
      <w:tblPr/>
      <w:tcPr>
        <w:tcBorders>
          <w:top w:val="single" w:sz="8" w:space="0" w:color="AAE6F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E6F0" w:themeColor="accent4"/>
          <w:insideH w:val="nil"/>
          <w:insideV w:val="nil"/>
        </w:tcBorders>
        <w:shd w:val="clear" w:color="auto" w:fill="FFFFFF" w:themeFill="background1"/>
      </w:tcPr>
    </w:tblStylePr>
    <w:tblStylePr w:type="lastCol">
      <w:tblPr/>
      <w:tcPr>
        <w:tcBorders>
          <w:top w:val="nil"/>
          <w:left w:val="single" w:sz="8" w:space="0" w:color="AAE6F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8FB" w:themeFill="accent4" w:themeFillTint="3F"/>
      </w:tcPr>
    </w:tblStylePr>
    <w:tblStylePr w:type="band1Horz">
      <w:tblPr/>
      <w:tcPr>
        <w:tcBorders>
          <w:top w:val="nil"/>
          <w:bottom w:val="nil"/>
          <w:insideH w:val="nil"/>
          <w:insideV w:val="nil"/>
        </w:tcBorders>
        <w:shd w:val="clear" w:color="auto" w:fill="E9F8F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BE28F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96B4" w:themeColor="accent5"/>
        <w:left w:val="single" w:sz="8" w:space="0" w:color="3C96B4" w:themeColor="accent5"/>
        <w:bottom w:val="single" w:sz="8" w:space="0" w:color="3C96B4" w:themeColor="accent5"/>
        <w:right w:val="single" w:sz="8" w:space="0" w:color="3C96B4" w:themeColor="accent5"/>
      </w:tblBorders>
    </w:tblPr>
    <w:tblStylePr w:type="firstRow">
      <w:rPr>
        <w:sz w:val="24"/>
        <w:szCs w:val="24"/>
      </w:rPr>
      <w:tblPr/>
      <w:tcPr>
        <w:tcBorders>
          <w:top w:val="nil"/>
          <w:left w:val="nil"/>
          <w:bottom w:val="single" w:sz="24" w:space="0" w:color="3C96B4" w:themeColor="accent5"/>
          <w:right w:val="nil"/>
          <w:insideH w:val="nil"/>
          <w:insideV w:val="nil"/>
        </w:tcBorders>
        <w:shd w:val="clear" w:color="auto" w:fill="FFFFFF" w:themeFill="background1"/>
      </w:tcPr>
    </w:tblStylePr>
    <w:tblStylePr w:type="lastRow">
      <w:tblPr/>
      <w:tcPr>
        <w:tcBorders>
          <w:top w:val="single" w:sz="8" w:space="0" w:color="3C96B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96B4" w:themeColor="accent5"/>
          <w:insideH w:val="nil"/>
          <w:insideV w:val="nil"/>
        </w:tcBorders>
        <w:shd w:val="clear" w:color="auto" w:fill="FFFFFF" w:themeFill="background1"/>
      </w:tcPr>
    </w:tblStylePr>
    <w:tblStylePr w:type="lastCol">
      <w:tblPr/>
      <w:tcPr>
        <w:tcBorders>
          <w:top w:val="nil"/>
          <w:left w:val="single" w:sz="8" w:space="0" w:color="3C96B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5EE" w:themeFill="accent5" w:themeFillTint="3F"/>
      </w:tcPr>
    </w:tblStylePr>
    <w:tblStylePr w:type="band1Horz">
      <w:tblPr/>
      <w:tcPr>
        <w:tcBorders>
          <w:top w:val="nil"/>
          <w:bottom w:val="nil"/>
          <w:insideH w:val="nil"/>
          <w:insideV w:val="nil"/>
        </w:tcBorders>
        <w:shd w:val="clear" w:color="auto" w:fill="CCE5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BE28F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FC3FF" w:themeColor="accent6"/>
        <w:left w:val="single" w:sz="8" w:space="0" w:color="AFC3FF" w:themeColor="accent6"/>
        <w:bottom w:val="single" w:sz="8" w:space="0" w:color="AFC3FF" w:themeColor="accent6"/>
        <w:right w:val="single" w:sz="8" w:space="0" w:color="AFC3FF" w:themeColor="accent6"/>
      </w:tblBorders>
    </w:tblPr>
    <w:tblStylePr w:type="firstRow">
      <w:rPr>
        <w:sz w:val="24"/>
        <w:szCs w:val="24"/>
      </w:rPr>
      <w:tblPr/>
      <w:tcPr>
        <w:tcBorders>
          <w:top w:val="nil"/>
          <w:left w:val="nil"/>
          <w:bottom w:val="single" w:sz="24" w:space="0" w:color="AFC3FF" w:themeColor="accent6"/>
          <w:right w:val="nil"/>
          <w:insideH w:val="nil"/>
          <w:insideV w:val="nil"/>
        </w:tcBorders>
        <w:shd w:val="clear" w:color="auto" w:fill="FFFFFF" w:themeFill="background1"/>
      </w:tcPr>
    </w:tblStylePr>
    <w:tblStylePr w:type="lastRow">
      <w:tblPr/>
      <w:tcPr>
        <w:tcBorders>
          <w:top w:val="single" w:sz="8" w:space="0" w:color="AFC3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C3FF" w:themeColor="accent6"/>
          <w:insideH w:val="nil"/>
          <w:insideV w:val="nil"/>
        </w:tcBorders>
        <w:shd w:val="clear" w:color="auto" w:fill="FFFFFF" w:themeFill="background1"/>
      </w:tcPr>
    </w:tblStylePr>
    <w:tblStylePr w:type="lastCol">
      <w:tblPr/>
      <w:tcPr>
        <w:tcBorders>
          <w:top w:val="nil"/>
          <w:left w:val="single" w:sz="8" w:space="0" w:color="AFC3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FFF" w:themeFill="accent6" w:themeFillTint="3F"/>
      </w:tcPr>
    </w:tblStylePr>
    <w:tblStylePr w:type="band1Horz">
      <w:tblPr/>
      <w:tcPr>
        <w:tcBorders>
          <w:top w:val="nil"/>
          <w:bottom w:val="nil"/>
          <w:insideH w:val="nil"/>
          <w:insideV w:val="nil"/>
        </w:tcBorders>
        <w:shd w:val="clear" w:color="auto" w:fill="EBEF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BE28F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BE28F6"/>
    <w:pPr>
      <w:spacing w:after="0" w:line="240" w:lineRule="auto"/>
    </w:pPr>
    <w:tblPr>
      <w:tblStyleRowBandSize w:val="1"/>
      <w:tblStyleColBandSize w:val="1"/>
      <w:tblBorders>
        <w:top w:val="single" w:sz="8" w:space="0" w:color="115D93" w:themeColor="accent1" w:themeTint="BF"/>
        <w:left w:val="single" w:sz="8" w:space="0" w:color="115D93" w:themeColor="accent1" w:themeTint="BF"/>
        <w:bottom w:val="single" w:sz="8" w:space="0" w:color="115D93" w:themeColor="accent1" w:themeTint="BF"/>
        <w:right w:val="single" w:sz="8" w:space="0" w:color="115D93" w:themeColor="accent1" w:themeTint="BF"/>
        <w:insideH w:val="single" w:sz="8" w:space="0" w:color="115D93" w:themeColor="accent1" w:themeTint="BF"/>
      </w:tblBorders>
    </w:tblPr>
    <w:tblStylePr w:type="firstRow">
      <w:pPr>
        <w:spacing w:before="0" w:after="0" w:line="240" w:lineRule="auto"/>
      </w:pPr>
      <w:rPr>
        <w:b/>
        <w:bCs/>
        <w:color w:val="FFFFFF" w:themeColor="background1"/>
      </w:rPr>
      <w:tblPr/>
      <w:tcPr>
        <w:tcBorders>
          <w:top w:val="single" w:sz="8" w:space="0" w:color="115D93" w:themeColor="accent1" w:themeTint="BF"/>
          <w:left w:val="single" w:sz="8" w:space="0" w:color="115D93" w:themeColor="accent1" w:themeTint="BF"/>
          <w:bottom w:val="single" w:sz="8" w:space="0" w:color="115D93" w:themeColor="accent1" w:themeTint="BF"/>
          <w:right w:val="single" w:sz="8" w:space="0" w:color="115D93" w:themeColor="accent1" w:themeTint="BF"/>
          <w:insideH w:val="nil"/>
          <w:insideV w:val="nil"/>
        </w:tcBorders>
        <w:shd w:val="clear" w:color="auto" w:fill="051C2C" w:themeFill="accent1"/>
      </w:tcPr>
    </w:tblStylePr>
    <w:tblStylePr w:type="lastRow">
      <w:pPr>
        <w:spacing w:before="0" w:after="0" w:line="240" w:lineRule="auto"/>
      </w:pPr>
      <w:rPr>
        <w:b/>
        <w:bCs/>
      </w:rPr>
      <w:tblPr/>
      <w:tcPr>
        <w:tcBorders>
          <w:top w:val="double" w:sz="6" w:space="0" w:color="115D93" w:themeColor="accent1" w:themeTint="BF"/>
          <w:left w:val="single" w:sz="8" w:space="0" w:color="115D93" w:themeColor="accent1" w:themeTint="BF"/>
          <w:bottom w:val="single" w:sz="8" w:space="0" w:color="115D93" w:themeColor="accent1" w:themeTint="BF"/>
          <w:right w:val="single" w:sz="8" w:space="0" w:color="115D93" w:themeColor="accent1" w:themeTint="BF"/>
          <w:insideH w:val="nil"/>
          <w:insideV w:val="nil"/>
        </w:tcBorders>
      </w:tcPr>
    </w:tblStylePr>
    <w:tblStylePr w:type="firstCol">
      <w:rPr>
        <w:b/>
        <w:bCs/>
      </w:rPr>
    </w:tblStylePr>
    <w:tblStylePr w:type="lastCol">
      <w:rPr>
        <w:b/>
        <w:bCs/>
      </w:rPr>
    </w:tblStylePr>
    <w:tblStylePr w:type="band1Vert">
      <w:tblPr/>
      <w:tcPr>
        <w:shd w:val="clear" w:color="auto" w:fill="98CEF3" w:themeFill="accent1" w:themeFillTint="3F"/>
      </w:tcPr>
    </w:tblStylePr>
    <w:tblStylePr w:type="band1Horz">
      <w:tblPr/>
      <w:tcPr>
        <w:tcBorders>
          <w:insideH w:val="nil"/>
          <w:insideV w:val="nil"/>
        </w:tcBorders>
        <w:shd w:val="clear" w:color="auto" w:fill="98CEF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BE28F6"/>
    <w:pPr>
      <w:spacing w:after="0" w:line="240" w:lineRule="auto"/>
    </w:pPr>
    <w:tblPr>
      <w:tblStyleRowBandSize w:val="1"/>
      <w:tblStyleColBandSize w:val="1"/>
      <w:tblBorders>
        <w:top w:val="single" w:sz="8" w:space="0" w:color="37C1FF" w:themeColor="accent2" w:themeTint="BF"/>
        <w:left w:val="single" w:sz="8" w:space="0" w:color="37C1FF" w:themeColor="accent2" w:themeTint="BF"/>
        <w:bottom w:val="single" w:sz="8" w:space="0" w:color="37C1FF" w:themeColor="accent2" w:themeTint="BF"/>
        <w:right w:val="single" w:sz="8" w:space="0" w:color="37C1FF" w:themeColor="accent2" w:themeTint="BF"/>
        <w:insideH w:val="single" w:sz="8" w:space="0" w:color="37C1FF" w:themeColor="accent2" w:themeTint="BF"/>
      </w:tblBorders>
    </w:tblPr>
    <w:tblStylePr w:type="firstRow">
      <w:pPr>
        <w:spacing w:before="0" w:after="0" w:line="240" w:lineRule="auto"/>
      </w:pPr>
      <w:rPr>
        <w:b/>
        <w:bCs/>
        <w:color w:val="FFFFFF" w:themeColor="background1"/>
      </w:rPr>
      <w:tblPr/>
      <w:tcPr>
        <w:tcBorders>
          <w:top w:val="single" w:sz="8" w:space="0" w:color="37C1FF" w:themeColor="accent2" w:themeTint="BF"/>
          <w:left w:val="single" w:sz="8" w:space="0" w:color="37C1FF" w:themeColor="accent2" w:themeTint="BF"/>
          <w:bottom w:val="single" w:sz="8" w:space="0" w:color="37C1FF" w:themeColor="accent2" w:themeTint="BF"/>
          <w:right w:val="single" w:sz="8" w:space="0" w:color="37C1FF" w:themeColor="accent2" w:themeTint="BF"/>
          <w:insideH w:val="nil"/>
          <w:insideV w:val="nil"/>
        </w:tcBorders>
        <w:shd w:val="clear" w:color="auto" w:fill="00A9F4" w:themeFill="accent2"/>
      </w:tcPr>
    </w:tblStylePr>
    <w:tblStylePr w:type="lastRow">
      <w:pPr>
        <w:spacing w:before="0" w:after="0" w:line="240" w:lineRule="auto"/>
      </w:pPr>
      <w:rPr>
        <w:b/>
        <w:bCs/>
      </w:rPr>
      <w:tblPr/>
      <w:tcPr>
        <w:tcBorders>
          <w:top w:val="double" w:sz="6" w:space="0" w:color="37C1FF" w:themeColor="accent2" w:themeTint="BF"/>
          <w:left w:val="single" w:sz="8" w:space="0" w:color="37C1FF" w:themeColor="accent2" w:themeTint="BF"/>
          <w:bottom w:val="single" w:sz="8" w:space="0" w:color="37C1FF" w:themeColor="accent2" w:themeTint="BF"/>
          <w:right w:val="single" w:sz="8" w:space="0" w:color="37C1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DEAFF" w:themeFill="accent2" w:themeFillTint="3F"/>
      </w:tcPr>
    </w:tblStylePr>
    <w:tblStylePr w:type="band1Horz">
      <w:tblPr/>
      <w:tcPr>
        <w:tcBorders>
          <w:insideH w:val="nil"/>
          <w:insideV w:val="nil"/>
        </w:tcBorders>
        <w:shd w:val="clear" w:color="auto" w:fill="BDEA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BE28F6"/>
    <w:pPr>
      <w:spacing w:after="0" w:line="240" w:lineRule="auto"/>
    </w:pPr>
    <w:tblPr>
      <w:tblStyleRowBandSize w:val="1"/>
      <w:tblStyleColBandSize w:val="1"/>
      <w:tblBorders>
        <w:top w:val="single" w:sz="8" w:space="0" w:color="597CFF" w:themeColor="accent3" w:themeTint="BF"/>
        <w:left w:val="single" w:sz="8" w:space="0" w:color="597CFF" w:themeColor="accent3" w:themeTint="BF"/>
        <w:bottom w:val="single" w:sz="8" w:space="0" w:color="597CFF" w:themeColor="accent3" w:themeTint="BF"/>
        <w:right w:val="single" w:sz="8" w:space="0" w:color="597CFF" w:themeColor="accent3" w:themeTint="BF"/>
        <w:insideH w:val="single" w:sz="8" w:space="0" w:color="597CFF" w:themeColor="accent3" w:themeTint="BF"/>
      </w:tblBorders>
    </w:tblPr>
    <w:tblStylePr w:type="firstRow">
      <w:pPr>
        <w:spacing w:before="0" w:after="0" w:line="240" w:lineRule="auto"/>
      </w:pPr>
      <w:rPr>
        <w:b/>
        <w:bCs/>
        <w:color w:val="FFFFFF" w:themeColor="background1"/>
      </w:rPr>
      <w:tblPr/>
      <w:tcPr>
        <w:tcBorders>
          <w:top w:val="single" w:sz="8" w:space="0" w:color="597CFF" w:themeColor="accent3" w:themeTint="BF"/>
          <w:left w:val="single" w:sz="8" w:space="0" w:color="597CFF" w:themeColor="accent3" w:themeTint="BF"/>
          <w:bottom w:val="single" w:sz="8" w:space="0" w:color="597CFF" w:themeColor="accent3" w:themeTint="BF"/>
          <w:right w:val="single" w:sz="8" w:space="0" w:color="597CFF" w:themeColor="accent3" w:themeTint="BF"/>
          <w:insideH w:val="nil"/>
          <w:insideV w:val="nil"/>
        </w:tcBorders>
        <w:shd w:val="clear" w:color="auto" w:fill="2251FF" w:themeFill="accent3"/>
      </w:tcPr>
    </w:tblStylePr>
    <w:tblStylePr w:type="lastRow">
      <w:pPr>
        <w:spacing w:before="0" w:after="0" w:line="240" w:lineRule="auto"/>
      </w:pPr>
      <w:rPr>
        <w:b/>
        <w:bCs/>
      </w:rPr>
      <w:tblPr/>
      <w:tcPr>
        <w:tcBorders>
          <w:top w:val="double" w:sz="6" w:space="0" w:color="597CFF" w:themeColor="accent3" w:themeTint="BF"/>
          <w:left w:val="single" w:sz="8" w:space="0" w:color="597CFF" w:themeColor="accent3" w:themeTint="BF"/>
          <w:bottom w:val="single" w:sz="8" w:space="0" w:color="597CFF" w:themeColor="accent3" w:themeTint="BF"/>
          <w:right w:val="single" w:sz="8" w:space="0" w:color="597C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D3FF" w:themeFill="accent3" w:themeFillTint="3F"/>
      </w:tcPr>
    </w:tblStylePr>
    <w:tblStylePr w:type="band1Horz">
      <w:tblPr/>
      <w:tcPr>
        <w:tcBorders>
          <w:insideH w:val="nil"/>
          <w:insideV w:val="nil"/>
        </w:tcBorders>
        <w:shd w:val="clear" w:color="auto" w:fill="C8D3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BE28F6"/>
    <w:pPr>
      <w:spacing w:after="0" w:line="240" w:lineRule="auto"/>
    </w:pPr>
    <w:tblPr>
      <w:tblStyleRowBandSize w:val="1"/>
      <w:tblStyleColBandSize w:val="1"/>
      <w:tblBorders>
        <w:top w:val="single" w:sz="8" w:space="0" w:color="BFECF3" w:themeColor="accent4" w:themeTint="BF"/>
        <w:left w:val="single" w:sz="8" w:space="0" w:color="BFECF3" w:themeColor="accent4" w:themeTint="BF"/>
        <w:bottom w:val="single" w:sz="8" w:space="0" w:color="BFECF3" w:themeColor="accent4" w:themeTint="BF"/>
        <w:right w:val="single" w:sz="8" w:space="0" w:color="BFECF3" w:themeColor="accent4" w:themeTint="BF"/>
        <w:insideH w:val="single" w:sz="8" w:space="0" w:color="BFECF3" w:themeColor="accent4" w:themeTint="BF"/>
      </w:tblBorders>
    </w:tblPr>
    <w:tblStylePr w:type="firstRow">
      <w:pPr>
        <w:spacing w:before="0" w:after="0" w:line="240" w:lineRule="auto"/>
      </w:pPr>
      <w:rPr>
        <w:b/>
        <w:bCs/>
        <w:color w:val="FFFFFF" w:themeColor="background1"/>
      </w:rPr>
      <w:tblPr/>
      <w:tcPr>
        <w:tcBorders>
          <w:top w:val="single" w:sz="8" w:space="0" w:color="BFECF3" w:themeColor="accent4" w:themeTint="BF"/>
          <w:left w:val="single" w:sz="8" w:space="0" w:color="BFECF3" w:themeColor="accent4" w:themeTint="BF"/>
          <w:bottom w:val="single" w:sz="8" w:space="0" w:color="BFECF3" w:themeColor="accent4" w:themeTint="BF"/>
          <w:right w:val="single" w:sz="8" w:space="0" w:color="BFECF3" w:themeColor="accent4" w:themeTint="BF"/>
          <w:insideH w:val="nil"/>
          <w:insideV w:val="nil"/>
        </w:tcBorders>
        <w:shd w:val="clear" w:color="auto" w:fill="AAE6F0" w:themeFill="accent4"/>
      </w:tcPr>
    </w:tblStylePr>
    <w:tblStylePr w:type="lastRow">
      <w:pPr>
        <w:spacing w:before="0" w:after="0" w:line="240" w:lineRule="auto"/>
      </w:pPr>
      <w:rPr>
        <w:b/>
        <w:bCs/>
      </w:rPr>
      <w:tblPr/>
      <w:tcPr>
        <w:tcBorders>
          <w:top w:val="double" w:sz="6" w:space="0" w:color="BFECF3" w:themeColor="accent4" w:themeTint="BF"/>
          <w:left w:val="single" w:sz="8" w:space="0" w:color="BFECF3" w:themeColor="accent4" w:themeTint="BF"/>
          <w:bottom w:val="single" w:sz="8" w:space="0" w:color="BFECF3" w:themeColor="accent4" w:themeTint="BF"/>
          <w:right w:val="single" w:sz="8" w:space="0" w:color="BFECF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9F8FB" w:themeFill="accent4" w:themeFillTint="3F"/>
      </w:tcPr>
    </w:tblStylePr>
    <w:tblStylePr w:type="band1Horz">
      <w:tblPr/>
      <w:tcPr>
        <w:tcBorders>
          <w:insideH w:val="nil"/>
          <w:insideV w:val="nil"/>
        </w:tcBorders>
        <w:shd w:val="clear" w:color="auto" w:fill="E9F8F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BE28F6"/>
    <w:pPr>
      <w:spacing w:after="0" w:line="240" w:lineRule="auto"/>
    </w:pPr>
    <w:tblPr>
      <w:tblStyleRowBandSize w:val="1"/>
      <w:tblStyleColBandSize w:val="1"/>
      <w:tblBorders>
        <w:top w:val="single" w:sz="8" w:space="0" w:color="67B3CC" w:themeColor="accent5" w:themeTint="BF"/>
        <w:left w:val="single" w:sz="8" w:space="0" w:color="67B3CC" w:themeColor="accent5" w:themeTint="BF"/>
        <w:bottom w:val="single" w:sz="8" w:space="0" w:color="67B3CC" w:themeColor="accent5" w:themeTint="BF"/>
        <w:right w:val="single" w:sz="8" w:space="0" w:color="67B3CC" w:themeColor="accent5" w:themeTint="BF"/>
        <w:insideH w:val="single" w:sz="8" w:space="0" w:color="67B3CC" w:themeColor="accent5" w:themeTint="BF"/>
      </w:tblBorders>
    </w:tblPr>
    <w:tblStylePr w:type="firstRow">
      <w:pPr>
        <w:spacing w:before="0" w:after="0" w:line="240" w:lineRule="auto"/>
      </w:pPr>
      <w:rPr>
        <w:b/>
        <w:bCs/>
        <w:color w:val="FFFFFF" w:themeColor="background1"/>
      </w:rPr>
      <w:tblPr/>
      <w:tcPr>
        <w:tcBorders>
          <w:top w:val="single" w:sz="8" w:space="0" w:color="67B3CC" w:themeColor="accent5" w:themeTint="BF"/>
          <w:left w:val="single" w:sz="8" w:space="0" w:color="67B3CC" w:themeColor="accent5" w:themeTint="BF"/>
          <w:bottom w:val="single" w:sz="8" w:space="0" w:color="67B3CC" w:themeColor="accent5" w:themeTint="BF"/>
          <w:right w:val="single" w:sz="8" w:space="0" w:color="67B3CC" w:themeColor="accent5" w:themeTint="BF"/>
          <w:insideH w:val="nil"/>
          <w:insideV w:val="nil"/>
        </w:tcBorders>
        <w:shd w:val="clear" w:color="auto" w:fill="3C96B4" w:themeFill="accent5"/>
      </w:tcPr>
    </w:tblStylePr>
    <w:tblStylePr w:type="lastRow">
      <w:pPr>
        <w:spacing w:before="0" w:after="0" w:line="240" w:lineRule="auto"/>
      </w:pPr>
      <w:rPr>
        <w:b/>
        <w:bCs/>
      </w:rPr>
      <w:tblPr/>
      <w:tcPr>
        <w:tcBorders>
          <w:top w:val="double" w:sz="6" w:space="0" w:color="67B3CC" w:themeColor="accent5" w:themeTint="BF"/>
          <w:left w:val="single" w:sz="8" w:space="0" w:color="67B3CC" w:themeColor="accent5" w:themeTint="BF"/>
          <w:bottom w:val="single" w:sz="8" w:space="0" w:color="67B3CC" w:themeColor="accent5" w:themeTint="BF"/>
          <w:right w:val="single" w:sz="8" w:space="0" w:color="67B3CC" w:themeColor="accent5" w:themeTint="BF"/>
          <w:insideH w:val="nil"/>
          <w:insideV w:val="nil"/>
        </w:tcBorders>
      </w:tcPr>
    </w:tblStylePr>
    <w:tblStylePr w:type="firstCol">
      <w:rPr>
        <w:b/>
        <w:bCs/>
      </w:rPr>
    </w:tblStylePr>
    <w:tblStylePr w:type="lastCol">
      <w:rPr>
        <w:b/>
        <w:bCs/>
      </w:rPr>
    </w:tblStylePr>
    <w:tblStylePr w:type="band1Vert">
      <w:tblPr/>
      <w:tcPr>
        <w:shd w:val="clear" w:color="auto" w:fill="CCE5EE" w:themeFill="accent5" w:themeFillTint="3F"/>
      </w:tcPr>
    </w:tblStylePr>
    <w:tblStylePr w:type="band1Horz">
      <w:tblPr/>
      <w:tcPr>
        <w:tcBorders>
          <w:insideH w:val="nil"/>
          <w:insideV w:val="nil"/>
        </w:tcBorders>
        <w:shd w:val="clear" w:color="auto" w:fill="CCE5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E28F6"/>
    <w:pPr>
      <w:spacing w:after="0" w:line="240" w:lineRule="auto"/>
    </w:pPr>
    <w:tblPr>
      <w:tblStyleRowBandSize w:val="1"/>
      <w:tblStyleColBandSize w:val="1"/>
      <w:tblBorders>
        <w:top w:val="single" w:sz="8" w:space="0" w:color="C3D1FF" w:themeColor="accent6" w:themeTint="BF"/>
        <w:left w:val="single" w:sz="8" w:space="0" w:color="C3D1FF" w:themeColor="accent6" w:themeTint="BF"/>
        <w:bottom w:val="single" w:sz="8" w:space="0" w:color="C3D1FF" w:themeColor="accent6" w:themeTint="BF"/>
        <w:right w:val="single" w:sz="8" w:space="0" w:color="C3D1FF" w:themeColor="accent6" w:themeTint="BF"/>
        <w:insideH w:val="single" w:sz="8" w:space="0" w:color="C3D1FF" w:themeColor="accent6" w:themeTint="BF"/>
      </w:tblBorders>
    </w:tblPr>
    <w:tblStylePr w:type="firstRow">
      <w:pPr>
        <w:spacing w:before="0" w:after="0" w:line="240" w:lineRule="auto"/>
      </w:pPr>
      <w:rPr>
        <w:b/>
        <w:bCs/>
        <w:color w:val="FFFFFF" w:themeColor="background1"/>
      </w:rPr>
      <w:tblPr/>
      <w:tcPr>
        <w:tcBorders>
          <w:top w:val="single" w:sz="8" w:space="0" w:color="C3D1FF" w:themeColor="accent6" w:themeTint="BF"/>
          <w:left w:val="single" w:sz="8" w:space="0" w:color="C3D1FF" w:themeColor="accent6" w:themeTint="BF"/>
          <w:bottom w:val="single" w:sz="8" w:space="0" w:color="C3D1FF" w:themeColor="accent6" w:themeTint="BF"/>
          <w:right w:val="single" w:sz="8" w:space="0" w:color="C3D1FF" w:themeColor="accent6" w:themeTint="BF"/>
          <w:insideH w:val="nil"/>
          <w:insideV w:val="nil"/>
        </w:tcBorders>
        <w:shd w:val="clear" w:color="auto" w:fill="AFC3FF" w:themeFill="accent6"/>
      </w:tcPr>
    </w:tblStylePr>
    <w:tblStylePr w:type="lastRow">
      <w:pPr>
        <w:spacing w:before="0" w:after="0" w:line="240" w:lineRule="auto"/>
      </w:pPr>
      <w:rPr>
        <w:b/>
        <w:bCs/>
      </w:rPr>
      <w:tblPr/>
      <w:tcPr>
        <w:tcBorders>
          <w:top w:val="double" w:sz="6" w:space="0" w:color="C3D1FF" w:themeColor="accent6" w:themeTint="BF"/>
          <w:left w:val="single" w:sz="8" w:space="0" w:color="C3D1FF" w:themeColor="accent6" w:themeTint="BF"/>
          <w:bottom w:val="single" w:sz="8" w:space="0" w:color="C3D1FF" w:themeColor="accent6" w:themeTint="BF"/>
          <w:right w:val="single" w:sz="8" w:space="0" w:color="C3D1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BEFFF" w:themeFill="accent6" w:themeFillTint="3F"/>
      </w:tcPr>
    </w:tblStylePr>
    <w:tblStylePr w:type="band1Horz">
      <w:tblPr/>
      <w:tcPr>
        <w:tcBorders>
          <w:insideH w:val="nil"/>
          <w:insideV w:val="nil"/>
        </w:tcBorders>
        <w:shd w:val="clear" w:color="auto" w:fill="EBEF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BE28F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BE28F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51C2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51C2C" w:themeFill="accent1"/>
      </w:tcPr>
    </w:tblStylePr>
    <w:tblStylePr w:type="lastCol">
      <w:rPr>
        <w:b/>
        <w:bCs/>
        <w:color w:val="FFFFFF" w:themeColor="background1"/>
      </w:rPr>
      <w:tblPr/>
      <w:tcPr>
        <w:tcBorders>
          <w:left w:val="nil"/>
          <w:right w:val="nil"/>
          <w:insideH w:val="nil"/>
          <w:insideV w:val="nil"/>
        </w:tcBorders>
        <w:shd w:val="clear" w:color="auto" w:fill="051C2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BE28F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9F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9F4" w:themeFill="accent2"/>
      </w:tcPr>
    </w:tblStylePr>
    <w:tblStylePr w:type="lastCol">
      <w:rPr>
        <w:b/>
        <w:bCs/>
        <w:color w:val="FFFFFF" w:themeColor="background1"/>
      </w:rPr>
      <w:tblPr/>
      <w:tcPr>
        <w:tcBorders>
          <w:left w:val="nil"/>
          <w:right w:val="nil"/>
          <w:insideH w:val="nil"/>
          <w:insideV w:val="nil"/>
        </w:tcBorders>
        <w:shd w:val="clear" w:color="auto" w:fill="00A9F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BE28F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251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251FF" w:themeFill="accent3"/>
      </w:tcPr>
    </w:tblStylePr>
    <w:tblStylePr w:type="lastCol">
      <w:rPr>
        <w:b/>
        <w:bCs/>
        <w:color w:val="FFFFFF" w:themeColor="background1"/>
      </w:rPr>
      <w:tblPr/>
      <w:tcPr>
        <w:tcBorders>
          <w:left w:val="nil"/>
          <w:right w:val="nil"/>
          <w:insideH w:val="nil"/>
          <w:insideV w:val="nil"/>
        </w:tcBorders>
        <w:shd w:val="clear" w:color="auto" w:fill="2251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BE28F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E6F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E6F0" w:themeFill="accent4"/>
      </w:tcPr>
    </w:tblStylePr>
    <w:tblStylePr w:type="lastCol">
      <w:rPr>
        <w:b/>
        <w:bCs/>
        <w:color w:val="FFFFFF" w:themeColor="background1"/>
      </w:rPr>
      <w:tblPr/>
      <w:tcPr>
        <w:tcBorders>
          <w:left w:val="nil"/>
          <w:right w:val="nil"/>
          <w:insideH w:val="nil"/>
          <w:insideV w:val="nil"/>
        </w:tcBorders>
        <w:shd w:val="clear" w:color="auto" w:fill="AAE6F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BE28F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96B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96B4" w:themeFill="accent5"/>
      </w:tcPr>
    </w:tblStylePr>
    <w:tblStylePr w:type="lastCol">
      <w:rPr>
        <w:b/>
        <w:bCs/>
        <w:color w:val="FFFFFF" w:themeColor="background1"/>
      </w:rPr>
      <w:tblPr/>
      <w:tcPr>
        <w:tcBorders>
          <w:left w:val="nil"/>
          <w:right w:val="nil"/>
          <w:insideH w:val="nil"/>
          <w:insideV w:val="nil"/>
        </w:tcBorders>
        <w:shd w:val="clear" w:color="auto" w:fill="3C96B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BE28F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FC3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FC3FF" w:themeFill="accent6"/>
      </w:tcPr>
    </w:tblStylePr>
    <w:tblStylePr w:type="lastCol">
      <w:rPr>
        <w:b/>
        <w:bCs/>
        <w:color w:val="FFFFFF" w:themeColor="background1"/>
      </w:rPr>
      <w:tblPr/>
      <w:tcPr>
        <w:tcBorders>
          <w:left w:val="nil"/>
          <w:right w:val="nil"/>
          <w:insideH w:val="nil"/>
          <w:insideV w:val="nil"/>
        </w:tcBorders>
        <w:shd w:val="clear" w:color="auto" w:fill="AFC3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unhideWhenUsed/>
    <w:rsid w:val="00BE28F6"/>
    <w:rPr>
      <w:color w:val="2B579A"/>
      <w:shd w:val="clear" w:color="auto" w:fill="E1DFDD"/>
    </w:rPr>
  </w:style>
  <w:style w:type="paragraph" w:styleId="MessageHeader">
    <w:name w:val="Message Header"/>
    <w:basedOn w:val="Normal"/>
    <w:link w:val="MessageHeaderChar"/>
    <w:uiPriority w:val="99"/>
    <w:semiHidden/>
    <w:unhideWhenUsed/>
    <w:rsid w:val="00BE28F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E28F6"/>
    <w:rPr>
      <w:rFonts w:asciiTheme="majorHAnsi" w:eastAsiaTheme="majorEastAsia" w:hAnsiTheme="majorHAnsi" w:cstheme="majorBidi"/>
      <w:sz w:val="24"/>
      <w:szCs w:val="24"/>
      <w:shd w:val="pct20" w:color="auto" w:fill="auto"/>
      <w:lang w:val="en-US"/>
    </w:rPr>
  </w:style>
  <w:style w:type="paragraph" w:styleId="NormalIndent">
    <w:name w:val="Normal Indent"/>
    <w:basedOn w:val="Normal"/>
    <w:uiPriority w:val="99"/>
    <w:semiHidden/>
    <w:unhideWhenUsed/>
    <w:rsid w:val="00BE28F6"/>
    <w:pPr>
      <w:ind w:left="720"/>
    </w:pPr>
  </w:style>
  <w:style w:type="paragraph" w:styleId="NoteHeading">
    <w:name w:val="Note Heading"/>
    <w:basedOn w:val="Normal"/>
    <w:next w:val="Normal"/>
    <w:link w:val="NoteHeadingChar"/>
    <w:uiPriority w:val="99"/>
    <w:semiHidden/>
    <w:unhideWhenUsed/>
    <w:rsid w:val="00BE28F6"/>
    <w:pPr>
      <w:spacing w:after="0" w:line="240" w:lineRule="auto"/>
    </w:pPr>
  </w:style>
  <w:style w:type="character" w:customStyle="1" w:styleId="NoteHeadingChar">
    <w:name w:val="Note Heading Char"/>
    <w:basedOn w:val="DefaultParagraphFont"/>
    <w:link w:val="NoteHeading"/>
    <w:uiPriority w:val="99"/>
    <w:semiHidden/>
    <w:rsid w:val="00BE28F6"/>
    <w:rPr>
      <w:rFonts w:eastAsia="Times New Roman" w:cs="Times New Roman"/>
      <w:szCs w:val="20"/>
      <w:lang w:val="en-US"/>
    </w:rPr>
  </w:style>
  <w:style w:type="character" w:styleId="PageNumber">
    <w:name w:val="page number"/>
    <w:basedOn w:val="DefaultParagraphFont"/>
    <w:uiPriority w:val="99"/>
    <w:semiHidden/>
    <w:unhideWhenUsed/>
    <w:rsid w:val="00BE28F6"/>
  </w:style>
  <w:style w:type="table" w:styleId="PlainTable1">
    <w:name w:val="Plain Table 1"/>
    <w:basedOn w:val="TableNormal"/>
    <w:uiPriority w:val="41"/>
    <w:rsid w:val="00BE28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E28F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E28F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E28F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E28F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BE28F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E28F6"/>
    <w:rPr>
      <w:rFonts w:ascii="Consolas" w:eastAsia="Times New Roman" w:hAnsi="Consolas" w:cs="Times New Roman"/>
      <w:sz w:val="21"/>
      <w:szCs w:val="21"/>
      <w:lang w:val="en-US"/>
    </w:rPr>
  </w:style>
  <w:style w:type="paragraph" w:styleId="Quote">
    <w:name w:val="Quote"/>
    <w:basedOn w:val="Normal"/>
    <w:next w:val="Normal"/>
    <w:link w:val="QuoteChar"/>
    <w:uiPriority w:val="29"/>
    <w:rsid w:val="00BE28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E28F6"/>
    <w:rPr>
      <w:rFonts w:eastAsia="Times New Roman" w:cs="Times New Roman"/>
      <w:i/>
      <w:iCs/>
      <w:color w:val="404040" w:themeColor="text1" w:themeTint="BF"/>
      <w:szCs w:val="20"/>
      <w:lang w:val="en-US"/>
    </w:rPr>
  </w:style>
  <w:style w:type="paragraph" w:styleId="Signature">
    <w:name w:val="Signature"/>
    <w:basedOn w:val="Normal"/>
    <w:link w:val="SignatureChar"/>
    <w:uiPriority w:val="99"/>
    <w:semiHidden/>
    <w:unhideWhenUsed/>
    <w:rsid w:val="00BE28F6"/>
    <w:pPr>
      <w:spacing w:after="0" w:line="240" w:lineRule="auto"/>
      <w:ind w:left="4252"/>
    </w:pPr>
  </w:style>
  <w:style w:type="character" w:customStyle="1" w:styleId="SignatureChar">
    <w:name w:val="Signature Char"/>
    <w:basedOn w:val="DefaultParagraphFont"/>
    <w:link w:val="Signature"/>
    <w:uiPriority w:val="99"/>
    <w:semiHidden/>
    <w:rsid w:val="00BE28F6"/>
    <w:rPr>
      <w:rFonts w:eastAsia="Times New Roman" w:cs="Times New Roman"/>
      <w:szCs w:val="20"/>
      <w:lang w:val="en-US"/>
    </w:rPr>
  </w:style>
  <w:style w:type="character" w:styleId="SmartHyperlink">
    <w:name w:val="Smart Hyperlink"/>
    <w:basedOn w:val="DefaultParagraphFont"/>
    <w:uiPriority w:val="99"/>
    <w:semiHidden/>
    <w:unhideWhenUsed/>
    <w:rsid w:val="00BE28F6"/>
    <w:rPr>
      <w:u w:val="dotted"/>
    </w:rPr>
  </w:style>
  <w:style w:type="character" w:styleId="SmartLink">
    <w:name w:val="Smart Link"/>
    <w:basedOn w:val="DefaultParagraphFont"/>
    <w:uiPriority w:val="99"/>
    <w:semiHidden/>
    <w:unhideWhenUsed/>
    <w:rsid w:val="00BE28F6"/>
    <w:rPr>
      <w:color w:val="0000FF"/>
      <w:u w:val="single"/>
      <w:shd w:val="clear" w:color="auto" w:fill="F3F2F1"/>
    </w:rPr>
  </w:style>
  <w:style w:type="character" w:styleId="Strong">
    <w:name w:val="Strong"/>
    <w:basedOn w:val="DefaultParagraphFont"/>
    <w:uiPriority w:val="22"/>
    <w:rsid w:val="00BE28F6"/>
    <w:rPr>
      <w:b/>
      <w:bCs/>
    </w:rPr>
  </w:style>
  <w:style w:type="paragraph" w:styleId="Subtitle">
    <w:name w:val="Subtitle"/>
    <w:basedOn w:val="Normal"/>
    <w:next w:val="Normal"/>
    <w:link w:val="SubtitleChar"/>
    <w:uiPriority w:val="11"/>
    <w:rsid w:val="00BE28F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BE28F6"/>
    <w:rPr>
      <w:rFonts w:eastAsiaTheme="minorEastAsia"/>
      <w:color w:val="5A5A5A" w:themeColor="text1" w:themeTint="A5"/>
      <w:spacing w:val="15"/>
      <w:lang w:val="en-US"/>
    </w:rPr>
  </w:style>
  <w:style w:type="character" w:styleId="SubtleEmphasis">
    <w:name w:val="Subtle Emphasis"/>
    <w:basedOn w:val="DefaultParagraphFont"/>
    <w:uiPriority w:val="19"/>
    <w:rsid w:val="00BE28F6"/>
    <w:rPr>
      <w:i/>
      <w:iCs/>
      <w:color w:val="404040" w:themeColor="text1" w:themeTint="BF"/>
    </w:rPr>
  </w:style>
  <w:style w:type="character" w:styleId="SubtleReference">
    <w:name w:val="Subtle Reference"/>
    <w:basedOn w:val="DefaultParagraphFont"/>
    <w:uiPriority w:val="31"/>
    <w:rsid w:val="00BE28F6"/>
    <w:rPr>
      <w:smallCaps/>
      <w:color w:val="5A5A5A" w:themeColor="text1" w:themeTint="A5"/>
    </w:rPr>
  </w:style>
  <w:style w:type="table" w:styleId="Table3Deffects1">
    <w:name w:val="Table 3D effects 1"/>
    <w:basedOn w:val="TableNormal"/>
    <w:uiPriority w:val="99"/>
    <w:semiHidden/>
    <w:unhideWhenUsed/>
    <w:rsid w:val="00BE28F6"/>
    <w:pPr>
      <w:spacing w:after="180"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E28F6"/>
    <w:pPr>
      <w:spacing w:after="180" w:line="264"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E28F6"/>
    <w:pPr>
      <w:spacing w:after="180" w:line="264"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E28F6"/>
    <w:pPr>
      <w:spacing w:after="180"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E28F6"/>
    <w:pPr>
      <w:spacing w:after="180" w:line="264"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E28F6"/>
    <w:pPr>
      <w:spacing w:after="180" w:line="264"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E28F6"/>
    <w:pPr>
      <w:spacing w:after="180" w:line="264"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E28F6"/>
    <w:pPr>
      <w:spacing w:after="180" w:line="264"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E28F6"/>
    <w:pPr>
      <w:spacing w:after="180" w:line="264"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E28F6"/>
    <w:pPr>
      <w:spacing w:after="180" w:line="264"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E28F6"/>
    <w:pPr>
      <w:spacing w:after="180" w:line="264"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E28F6"/>
    <w:pPr>
      <w:spacing w:after="180" w:line="264"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E28F6"/>
    <w:pPr>
      <w:spacing w:after="180" w:line="264"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E28F6"/>
    <w:pPr>
      <w:spacing w:after="180" w:line="264"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E28F6"/>
    <w:pPr>
      <w:spacing w:after="180" w:line="264"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E28F6"/>
    <w:pPr>
      <w:spacing w:after="180" w:line="264"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E28F6"/>
    <w:pPr>
      <w:spacing w:after="180" w:line="264"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BE28F6"/>
    <w:pPr>
      <w:spacing w:after="180"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E28F6"/>
    <w:pPr>
      <w:spacing w:after="180" w:line="264"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E28F6"/>
    <w:pPr>
      <w:spacing w:after="180" w:line="264"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E28F6"/>
    <w:pPr>
      <w:spacing w:after="180" w:line="264"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E28F6"/>
    <w:pPr>
      <w:spacing w:after="180" w:line="264"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E28F6"/>
    <w:pPr>
      <w:spacing w:after="180" w:line="264"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E28F6"/>
    <w:pPr>
      <w:spacing w:after="180" w:line="264"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E28F6"/>
    <w:pPr>
      <w:spacing w:after="180" w:line="264"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BE28F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BE28F6"/>
    <w:pPr>
      <w:spacing w:after="180" w:line="264"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E28F6"/>
    <w:pPr>
      <w:spacing w:after="180" w:line="264"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E28F6"/>
    <w:pPr>
      <w:spacing w:after="180" w:line="264"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E28F6"/>
    <w:pPr>
      <w:spacing w:after="180" w:line="264"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E28F6"/>
    <w:pPr>
      <w:spacing w:after="180" w:line="264"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E28F6"/>
    <w:pPr>
      <w:spacing w:after="180" w:line="264"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E28F6"/>
    <w:pPr>
      <w:spacing w:after="180" w:line="264"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E28F6"/>
    <w:pPr>
      <w:spacing w:after="180" w:line="264"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BE28F6"/>
    <w:pPr>
      <w:spacing w:after="0"/>
      <w:ind w:left="220" w:hanging="220"/>
    </w:pPr>
  </w:style>
  <w:style w:type="paragraph" w:styleId="TableofFigures">
    <w:name w:val="table of figures"/>
    <w:basedOn w:val="Normal"/>
    <w:next w:val="Normal"/>
    <w:uiPriority w:val="99"/>
    <w:semiHidden/>
    <w:unhideWhenUsed/>
    <w:rsid w:val="00BE28F6"/>
    <w:pPr>
      <w:spacing w:after="0"/>
    </w:pPr>
  </w:style>
  <w:style w:type="table" w:styleId="TableProfessional">
    <w:name w:val="Table Professional"/>
    <w:basedOn w:val="TableNormal"/>
    <w:uiPriority w:val="99"/>
    <w:semiHidden/>
    <w:unhideWhenUsed/>
    <w:rsid w:val="00BE28F6"/>
    <w:pPr>
      <w:spacing w:after="180"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E28F6"/>
    <w:pPr>
      <w:spacing w:after="180" w:line="264"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E28F6"/>
    <w:pPr>
      <w:spacing w:after="180" w:line="264"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E28F6"/>
    <w:pPr>
      <w:spacing w:after="180" w:line="264"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E28F6"/>
    <w:pPr>
      <w:spacing w:after="180" w:line="264"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E28F6"/>
    <w:pPr>
      <w:spacing w:after="180" w:line="264"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BE28F6"/>
    <w:pPr>
      <w:spacing w:after="18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E28F6"/>
    <w:pPr>
      <w:spacing w:after="180" w:line="264"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E28F6"/>
    <w:pPr>
      <w:spacing w:after="180" w:line="264"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BE28F6"/>
    <w:pPr>
      <w:spacing w:after="180" w:line="264"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BE28F6"/>
    <w:rPr>
      <w:color w:val="605E5C"/>
      <w:shd w:val="clear" w:color="auto" w:fill="E1DFDD"/>
    </w:rPr>
  </w:style>
  <w:style w:type="paragraph" w:customStyle="1" w:styleId="ct">
    <w:name w:val="ct"/>
    <w:qFormat/>
    <w:rsid w:val="00363127"/>
    <w:pPr>
      <w:spacing w:after="480" w:line="240" w:lineRule="auto"/>
      <w:jc w:val="center"/>
      <w:outlineLvl w:val="0"/>
    </w:pPr>
    <w:rPr>
      <w:rFonts w:ascii="Calibri" w:hAnsi="Calibri"/>
      <w:b/>
      <w:sz w:val="36"/>
      <w:szCs w:val="24"/>
      <w:lang w:val="en-US"/>
    </w:rPr>
  </w:style>
  <w:style w:type="paragraph" w:customStyle="1" w:styleId="h1">
    <w:name w:val="h1"/>
    <w:qFormat/>
    <w:rsid w:val="00363127"/>
    <w:pPr>
      <w:spacing w:before="360" w:after="240" w:line="240" w:lineRule="auto"/>
      <w:outlineLvl w:val="1"/>
    </w:pPr>
    <w:rPr>
      <w:rFonts w:ascii="Calibri" w:hAnsi="Calibri"/>
      <w:b/>
      <w:sz w:val="36"/>
      <w:szCs w:val="24"/>
      <w:lang w:val="en-US"/>
    </w:rPr>
  </w:style>
  <w:style w:type="character" w:customStyle="1" w:styleId="ital">
    <w:name w:val="ital"/>
    <w:uiPriority w:val="1"/>
    <w:qFormat/>
    <w:rsid w:val="00CA43C3"/>
    <w:rPr>
      <w:i/>
    </w:rPr>
  </w:style>
  <w:style w:type="character" w:customStyle="1" w:styleId="UnresolvedMention1">
    <w:name w:val="Unresolved Mention1"/>
    <w:basedOn w:val="DefaultParagraphFont"/>
    <w:uiPriority w:val="99"/>
    <w:semiHidden/>
    <w:unhideWhenUsed/>
    <w:rsid w:val="008E26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bcg.com/en-ch/publications/2020/machinery-industrial-automation-megatrends" TargetMode="External"/><Relationship Id="rId1" Type="http://schemas.openxmlformats.org/officeDocument/2006/relationships/hyperlink" Target="https://www.gobankingrates.com/saving-money/savings-advice/half-americans-less-savings-2017/" TargetMode="External"/></Relationships>
</file>

<file path=word/theme/theme1.xml><?xml version="1.0" encoding="utf-8"?>
<a:theme xmlns:a="http://schemas.openxmlformats.org/drawingml/2006/main" name="McKinsey White 16x9">
  <a:themeElements>
    <a:clrScheme name="Custom 26">
      <a:dk1>
        <a:srgbClr val="000000"/>
      </a:dk1>
      <a:lt1>
        <a:srgbClr val="FFFFFF"/>
      </a:lt1>
      <a:dk2>
        <a:srgbClr val="051C2C"/>
      </a:dk2>
      <a:lt2>
        <a:srgbClr val="FFFFFF"/>
      </a:lt2>
      <a:accent1>
        <a:srgbClr val="051C2C"/>
      </a:accent1>
      <a:accent2>
        <a:srgbClr val="00A9F4"/>
      </a:accent2>
      <a:accent3>
        <a:srgbClr val="2251FF"/>
      </a:accent3>
      <a:accent4>
        <a:srgbClr val="AAE6F0"/>
      </a:accent4>
      <a:accent5>
        <a:srgbClr val="3C96B4"/>
      </a:accent5>
      <a:accent6>
        <a:srgbClr val="AFC3FF"/>
      </a:accent6>
      <a:hlink>
        <a:srgbClr val="00A9F4"/>
      </a:hlink>
      <a:folHlink>
        <a:srgbClr val="00A9F4"/>
      </a:folHlink>
    </a:clrScheme>
    <a:fontScheme name="McKinsey &amp; Company Word Documents">
      <a:majorFont>
        <a:latin typeface="Georgia"/>
        <a:ea typeface=""/>
        <a:cs typeface=""/>
      </a:majorFont>
      <a:minorFont>
        <a:latin typeface="Arial"/>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051C2C"/>
        </a:solidFill>
        <a:ln w="6350" cap="sq">
          <a:noFill/>
          <a:miter lim="800000"/>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sz="1600" dirty="0" err="1" smtClean="0">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6350" cap="sq">
          <a:solidFill>
            <a:srgbClr val="000000"/>
          </a:solidFill>
          <a:miter lim="800000"/>
          <a:tailEnd type="none"/>
        </a:ln>
      </a:spPr>
      <a:bodyPr/>
      <a:lstStyle/>
      <a:style>
        <a:lnRef idx="1">
          <a:schemeClr val="accent1"/>
        </a:lnRef>
        <a:fillRef idx="0">
          <a:schemeClr val="accent1"/>
        </a:fillRef>
        <a:effectRef idx="0">
          <a:schemeClr val="accent1"/>
        </a:effectRef>
        <a:fontRef idx="minor">
          <a:schemeClr val="tx1"/>
        </a:fontRef>
      </a:style>
    </a:lnDef>
    <a:txDef>
      <a:spPr>
        <a:ln w="6350">
          <a:noFill/>
          <a:miter lim="800000"/>
        </a:ln>
      </a:spPr>
      <a:bodyPr vert="horz" wrap="square" lIns="0" tIns="0" rIns="0" bIns="0" rtlCol="0">
        <a:noAutofit/>
      </a:bodyPr>
      <a:lstStyle>
        <a:defPPr algn="l">
          <a:spcBef>
            <a:spcPts val="300"/>
          </a:spcBef>
          <a:spcAft>
            <a:spcPts val="300"/>
          </a:spcAft>
          <a:buNone/>
          <a:defRPr sz="1600" dirty="0" smtClean="0"/>
        </a:defPPr>
      </a:lstStyle>
    </a:txDef>
  </a:objectDefaults>
  <a:extraClrSchemeLst/>
  <a:custClrLst>
    <a:custClr name="Electric Blue">
      <a:srgbClr val="2251FF"/>
    </a:custClr>
    <a:custClr name="Cyan">
      <a:srgbClr val="00A9F4"/>
    </a:custClr>
    <a:custClr name="Pale Blue">
      <a:srgbClr val="6DC1DB"/>
    </a:custClr>
    <a:custClr name="Super Light Gray">
      <a:srgbClr val="D0D0D0"/>
    </a:custClr>
    <a:custClr name="Pink">
      <a:srgbClr val="E8BDAD"/>
    </a:custClr>
    <a:custClr name="Orange">
      <a:srgbClr val="FAA082"/>
    </a:custClr>
    <a:custClr name="Red">
      <a:srgbClr val="E5546C"/>
    </a:custClr>
    <a:custClr name="Null">
      <a:srgbClr val="FFFFFF"/>
    </a:custClr>
    <a:custClr name="Null">
      <a:srgbClr val="FFFFFF"/>
    </a:custClr>
    <a:custClr name="Null">
      <a:srgbClr val="FFFFFF"/>
    </a:custClr>
    <a:custClr name="Dark Gray">
      <a:srgbClr val="4D4D4D"/>
    </a:custClr>
    <a:custClr name="Mid Gray">
      <a:srgbClr val="7F7F7F"/>
    </a:custClr>
    <a:custClr name="Light Gray">
      <a:srgbClr val="B3B3B3"/>
    </a:custClr>
    <a:custClr name="Super Light Gray">
      <a:srgbClr val="D0D0D0"/>
    </a:custClr>
    <a:custClr name="Pale Gray">
      <a:srgbClr val="E6E6E6"/>
    </a:custClr>
    <a:custClr name="Null">
      <a:srgbClr val="FFFFFF"/>
    </a:custClr>
    <a:custClr name="Null">
      <a:srgbClr val="FFFFFF"/>
    </a:custClr>
    <a:custClr name="Null">
      <a:srgbClr val="FFFFFF"/>
    </a:custClr>
    <a:custClr name="Null">
      <a:srgbClr val="FFFFFF"/>
    </a:custClr>
    <a:custClr name="Null">
      <a:srgbClr val="FFFFFF"/>
    </a:custClr>
    <a:custClr name="Deep Blue">
      <a:srgbClr val="051C2C"/>
    </a:custClr>
    <a:custClr name="McKinsey Cyan">
      <a:srgbClr val="00A9F4"/>
    </a:custClr>
    <a:custClr name="Electric Blue">
      <a:srgbClr val="1F40E6"/>
    </a:custClr>
    <a:custClr name="Pale Blue">
      <a:srgbClr val="AAE6F0"/>
    </a:custClr>
    <a:custClr name="Turquoise">
      <a:srgbClr val="3C96B4"/>
    </a:custClr>
    <a:custClr name="Pale Electric Blue">
      <a:srgbClr val="AFC3FF"/>
    </a:custClr>
    <a:custClr name="Purple">
      <a:srgbClr val="8C5AC8"/>
    </a:custClr>
    <a:custClr name="Pink">
      <a:srgbClr val="E6A0C8"/>
    </a:custClr>
    <a:custClr name="Red">
      <a:srgbClr val="E5546C"/>
    </a:custClr>
    <a:custClr name="Orange">
      <a:srgbClr val="FAA082"/>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9D834-1D56-4DE8-B92D-D6F8145A8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4378</Words>
  <Characters>22986</Characters>
  <Application>Microsoft Office Word</Application>
  <DocSecurity>0</DocSecurity>
  <Lines>442</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Dondi</dc:creator>
  <cp:keywords/>
  <dc:description/>
  <cp:lastModifiedBy>Michael W Howard</cp:lastModifiedBy>
  <cp:revision>2</cp:revision>
  <dcterms:created xsi:type="dcterms:W3CDTF">2021-08-24T23:11:00Z</dcterms:created>
  <dcterms:modified xsi:type="dcterms:W3CDTF">2021-08-24T23:11:00Z</dcterms:modified>
</cp:coreProperties>
</file>